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08438">
      <w:pPr>
        <w:tabs>
          <w:tab w:val="center" w:pos="4153"/>
        </w:tabs>
        <w:autoSpaceDE/>
        <w:autoSpaceDN/>
        <w:adjustRightInd/>
        <w:snapToGrid/>
        <w:spacing w:beforeLines="0" w:afterLines="0" w:line="360" w:lineRule="auto"/>
        <w:jc w:val="center"/>
        <w:outlineLvl w:val="9"/>
        <w:rPr>
          <w:rFonts w:hint="eastAsia"/>
          <w:b/>
          <w:bCs/>
          <w:color w:val="000000"/>
          <w:kern w:val="2"/>
          <w:sz w:val="32"/>
          <w:szCs w:val="32"/>
        </w:rPr>
      </w:pPr>
      <w:bookmarkStart w:id="1" w:name="_GoBack"/>
      <w:bookmarkEnd w:id="1"/>
      <w:r>
        <w:rPr>
          <w:rFonts w:hint="eastAsia"/>
          <w:b/>
          <w:bCs/>
          <w:color w:val="000000"/>
          <w:kern w:val="2"/>
          <w:sz w:val="32"/>
          <w:szCs w:val="32"/>
        </w:rPr>
        <w:t>福建广生堂药业股份有限公司</w:t>
      </w:r>
    </w:p>
    <w:p w14:paraId="496A4B94">
      <w:pPr>
        <w:tabs>
          <w:tab w:val="center" w:pos="4153"/>
        </w:tabs>
        <w:autoSpaceDE/>
        <w:autoSpaceDN/>
        <w:adjustRightInd/>
        <w:snapToGrid/>
        <w:spacing w:beforeLines="0" w:afterLines="0" w:line="360" w:lineRule="auto"/>
        <w:jc w:val="center"/>
        <w:outlineLvl w:val="9"/>
        <w:rPr>
          <w:rFonts w:hint="eastAsia"/>
          <w:b/>
          <w:bCs/>
          <w:color w:val="000000"/>
          <w:kern w:val="2"/>
          <w:sz w:val="32"/>
          <w:szCs w:val="32"/>
        </w:rPr>
      </w:pPr>
      <w:r>
        <w:rPr>
          <w:rFonts w:hint="eastAsia"/>
          <w:b/>
          <w:bCs/>
          <w:color w:val="000000"/>
          <w:kern w:val="2"/>
          <w:sz w:val="32"/>
          <w:szCs w:val="32"/>
        </w:rPr>
        <w:t>关联交易规则</w:t>
      </w:r>
    </w:p>
    <w:p w14:paraId="66E2B0B3">
      <w:pPr>
        <w:pStyle w:val="2"/>
        <w:keepNext w:val="0"/>
        <w:keepLines w:val="0"/>
        <w:pageBreakBefore w:val="0"/>
        <w:widowControl w:val="0"/>
        <w:kinsoku/>
        <w:wordWrap/>
        <w:overflowPunct/>
        <w:topLinePunct w:val="0"/>
        <w:autoSpaceDE/>
        <w:autoSpaceDN/>
        <w:bidi w:val="0"/>
        <w:adjustRightInd w:val="0"/>
        <w:snapToGrid w:val="0"/>
        <w:spacing w:before="100" w:beforeLines="100" w:beforeAutospacing="0" w:after="100" w:afterLines="100" w:afterAutospacing="0" w:line="240" w:lineRule="auto"/>
        <w:ind w:left="0" w:firstLine="0" w:firstLineChars="0"/>
        <w:jc w:val="center"/>
        <w:textAlignment w:val="auto"/>
        <w:rPr>
          <w:rStyle w:val="16"/>
          <w:rFonts w:hint="eastAsia"/>
          <w:b/>
          <w:bCs w:val="0"/>
          <w:szCs w:val="24"/>
          <w:lang w:val="en-US" w:eastAsia="zh-CN"/>
        </w:rPr>
      </w:pPr>
      <w:r>
        <w:rPr>
          <w:rStyle w:val="16"/>
          <w:rFonts w:hint="eastAsia"/>
          <w:b/>
          <w:bCs w:val="0"/>
          <w:szCs w:val="24"/>
          <w:lang w:val="en-US" w:eastAsia="zh-CN"/>
        </w:rPr>
        <w:t xml:space="preserve"> 总则</w:t>
      </w:r>
    </w:p>
    <w:p w14:paraId="493A6906">
      <w:pPr>
        <w:spacing w:line="360" w:lineRule="auto"/>
        <w:ind w:firstLine="413" w:firstLineChars="196"/>
        <w:rPr>
          <w:rFonts w:hint="eastAsia"/>
          <w:szCs w:val="21"/>
        </w:rPr>
      </w:pPr>
      <w:r>
        <w:rPr>
          <w:rFonts w:hint="eastAsia"/>
          <w:b/>
          <w:szCs w:val="21"/>
        </w:rPr>
        <w:t>第一条</w:t>
      </w:r>
      <w:r>
        <w:rPr>
          <w:rFonts w:hint="eastAsia"/>
          <w:szCs w:val="21"/>
        </w:rPr>
        <w:t xml:space="preserve"> 为保证福建广生堂药业股份有限公司（以下简称“公司”）与关联方之间的关联交易符合公平、公正、公开的原则，确保公司的关联交易行为不损害公司和非关联股东的合法权益，根据《中华人民共和国公司法》《中华人民共和国证券法》《深圳证券交易所创业板股票上市规则》（以下简称“《上市规则》”）、《企业会计准则第36号——关联方披露》等有关法律法规、规范性文件及《福建广生堂药业股份有限公司章程》（以下简称“《公司章程》”）的有关规定，制定本规则。</w:t>
      </w:r>
    </w:p>
    <w:p w14:paraId="77559E6B">
      <w:pPr>
        <w:spacing w:line="360" w:lineRule="auto"/>
        <w:ind w:firstLine="413" w:firstLineChars="196"/>
        <w:rPr>
          <w:rFonts w:hint="eastAsia"/>
          <w:szCs w:val="21"/>
        </w:rPr>
      </w:pPr>
      <w:r>
        <w:rPr>
          <w:rFonts w:hint="eastAsia"/>
          <w:b/>
          <w:szCs w:val="21"/>
        </w:rPr>
        <w:t xml:space="preserve">第二条 </w:t>
      </w:r>
      <w:r>
        <w:rPr>
          <w:rFonts w:hint="eastAsia"/>
          <w:szCs w:val="21"/>
        </w:rPr>
        <w:t>公司与关联方之间的关联交易行为除遵守有关法律法规、规范性文件和《公司章程》的规定外，还需遵守本规则的规定。</w:t>
      </w:r>
    </w:p>
    <w:p w14:paraId="17F3E1A7">
      <w:pPr>
        <w:pStyle w:val="2"/>
        <w:keepNext w:val="0"/>
        <w:keepLines w:val="0"/>
        <w:pageBreakBefore w:val="0"/>
        <w:widowControl w:val="0"/>
        <w:kinsoku/>
        <w:wordWrap/>
        <w:overflowPunct/>
        <w:topLinePunct w:val="0"/>
        <w:autoSpaceDE/>
        <w:autoSpaceDN/>
        <w:bidi w:val="0"/>
        <w:adjustRightInd w:val="0"/>
        <w:snapToGrid w:val="0"/>
        <w:spacing w:before="100" w:beforeLines="100" w:beforeAutospacing="0" w:after="100" w:afterLines="100" w:afterAutospacing="0" w:line="240" w:lineRule="auto"/>
        <w:ind w:left="0" w:firstLine="0" w:firstLineChars="0"/>
        <w:jc w:val="center"/>
        <w:textAlignment w:val="auto"/>
        <w:rPr>
          <w:rStyle w:val="16"/>
          <w:rFonts w:hint="eastAsia"/>
          <w:b/>
          <w:bCs w:val="0"/>
          <w:szCs w:val="24"/>
          <w:lang w:val="en-US" w:eastAsia="zh-CN"/>
        </w:rPr>
      </w:pPr>
      <w:r>
        <w:rPr>
          <w:rStyle w:val="16"/>
          <w:rFonts w:hint="eastAsia"/>
          <w:b/>
          <w:bCs w:val="0"/>
          <w:szCs w:val="24"/>
          <w:lang w:val="en-US" w:eastAsia="zh-CN"/>
        </w:rPr>
        <w:t xml:space="preserve"> 关联方和关联关系</w:t>
      </w:r>
    </w:p>
    <w:p w14:paraId="22DA5639">
      <w:pPr>
        <w:spacing w:line="360" w:lineRule="auto"/>
        <w:ind w:firstLine="413" w:firstLineChars="196"/>
        <w:rPr>
          <w:rFonts w:hint="eastAsia"/>
          <w:szCs w:val="21"/>
        </w:rPr>
      </w:pPr>
      <w:r>
        <w:rPr>
          <w:rFonts w:hint="eastAsia"/>
          <w:b/>
          <w:szCs w:val="21"/>
        </w:rPr>
        <w:t>第三条</w:t>
      </w:r>
      <w:r>
        <w:rPr>
          <w:rFonts w:hint="eastAsia"/>
          <w:szCs w:val="21"/>
        </w:rPr>
        <w:t xml:space="preserve"> 公司关联方包括关联法人和关联自然人。</w:t>
      </w:r>
    </w:p>
    <w:p w14:paraId="3593122F">
      <w:pPr>
        <w:spacing w:line="360" w:lineRule="auto"/>
        <w:ind w:firstLine="413" w:firstLineChars="196"/>
        <w:rPr>
          <w:rFonts w:hint="eastAsia"/>
          <w:szCs w:val="21"/>
        </w:rPr>
      </w:pPr>
      <w:r>
        <w:rPr>
          <w:rFonts w:hint="eastAsia"/>
          <w:b/>
          <w:szCs w:val="21"/>
        </w:rPr>
        <w:t>第四条</w:t>
      </w:r>
      <w:r>
        <w:rPr>
          <w:rFonts w:hint="eastAsia"/>
          <w:szCs w:val="21"/>
        </w:rPr>
        <w:t xml:space="preserve"> 具有以下情形之一的法人，为公司的关联法人：</w:t>
      </w:r>
    </w:p>
    <w:p w14:paraId="36611AA2">
      <w:pPr>
        <w:spacing w:line="360" w:lineRule="auto"/>
        <w:ind w:firstLine="420" w:firstLineChars="200"/>
        <w:rPr>
          <w:rFonts w:hint="eastAsia"/>
          <w:szCs w:val="21"/>
        </w:rPr>
      </w:pPr>
      <w:r>
        <w:rPr>
          <w:rFonts w:hint="eastAsia"/>
          <w:szCs w:val="21"/>
        </w:rPr>
        <w:t>（一）直接或间接地控制公司的法人或其他组织；</w:t>
      </w:r>
    </w:p>
    <w:p w14:paraId="21720B15">
      <w:pPr>
        <w:spacing w:line="360" w:lineRule="auto"/>
        <w:ind w:firstLine="420" w:firstLineChars="200"/>
        <w:rPr>
          <w:rFonts w:hint="eastAsia"/>
          <w:szCs w:val="21"/>
        </w:rPr>
      </w:pPr>
      <w:r>
        <w:rPr>
          <w:rFonts w:hint="eastAsia"/>
          <w:szCs w:val="21"/>
        </w:rPr>
        <w:t>（二）由前项所述主体直接或间接控制的除公司及其控股子公司以外的法人或其他组织；</w:t>
      </w:r>
    </w:p>
    <w:p w14:paraId="611E4E28">
      <w:pPr>
        <w:spacing w:line="360" w:lineRule="auto"/>
        <w:ind w:firstLine="420" w:firstLineChars="200"/>
        <w:rPr>
          <w:rFonts w:hint="eastAsia"/>
          <w:szCs w:val="21"/>
        </w:rPr>
      </w:pPr>
      <w:r>
        <w:rPr>
          <w:rFonts w:hint="eastAsia"/>
          <w:szCs w:val="21"/>
        </w:rPr>
        <w:t>（三）由本规则第五条所列公司的关联自然人直接或间接控制的，或担任董事（不含同为双方的独立董事）、高级管理人员的，除公司及其控股子公司以外的法人或其他组织；</w:t>
      </w:r>
    </w:p>
    <w:p w14:paraId="6AB32B56">
      <w:pPr>
        <w:spacing w:line="360" w:lineRule="auto"/>
        <w:ind w:firstLine="420" w:firstLineChars="200"/>
        <w:rPr>
          <w:rFonts w:hint="eastAsia"/>
          <w:szCs w:val="21"/>
        </w:rPr>
      </w:pPr>
      <w:r>
        <w:rPr>
          <w:rFonts w:hint="eastAsia"/>
          <w:szCs w:val="21"/>
        </w:rPr>
        <w:t>（四）持有公司5%以上股份的法人或其他组织及其行动一致人；</w:t>
      </w:r>
    </w:p>
    <w:p w14:paraId="7A1564CF">
      <w:pPr>
        <w:spacing w:line="360" w:lineRule="auto"/>
        <w:ind w:firstLine="420" w:firstLineChars="200"/>
        <w:rPr>
          <w:rFonts w:hint="eastAsia"/>
          <w:szCs w:val="21"/>
        </w:rPr>
      </w:pPr>
      <w:r>
        <w:rPr>
          <w:rFonts w:hint="eastAsia"/>
          <w:szCs w:val="21"/>
        </w:rPr>
        <w:t>（五）中国证券监督管理委员会（以下简称“中国证监会”）、深圳证券交易所或公司根据实质重于形式的原则认定的其他与公司有特殊关系，可能造成公司对其利益倾斜的法人或其他组织。</w:t>
      </w:r>
    </w:p>
    <w:p w14:paraId="1C7FBA45">
      <w:pPr>
        <w:spacing w:line="360" w:lineRule="auto"/>
        <w:ind w:firstLine="413" w:firstLineChars="196"/>
        <w:rPr>
          <w:rFonts w:hint="eastAsia"/>
          <w:szCs w:val="21"/>
        </w:rPr>
      </w:pPr>
      <w:r>
        <w:rPr>
          <w:rFonts w:hint="eastAsia"/>
          <w:b/>
          <w:szCs w:val="21"/>
        </w:rPr>
        <w:t>第五条</w:t>
      </w:r>
      <w:r>
        <w:rPr>
          <w:rFonts w:hint="eastAsia"/>
          <w:szCs w:val="21"/>
        </w:rPr>
        <w:t xml:space="preserve"> 具有以下情形之一的自然人，为公司的关联自然人：</w:t>
      </w:r>
    </w:p>
    <w:p w14:paraId="475534C1">
      <w:pPr>
        <w:spacing w:line="360" w:lineRule="auto"/>
        <w:ind w:firstLine="420" w:firstLineChars="200"/>
        <w:rPr>
          <w:rFonts w:hint="eastAsia"/>
          <w:szCs w:val="21"/>
        </w:rPr>
      </w:pPr>
      <w:r>
        <w:rPr>
          <w:rFonts w:hint="eastAsia"/>
          <w:szCs w:val="21"/>
        </w:rPr>
        <w:t>（一）直接或间接持有公司5%以上股份的自然人；</w:t>
      </w:r>
    </w:p>
    <w:p w14:paraId="28D53EB3">
      <w:pPr>
        <w:spacing w:line="360" w:lineRule="auto"/>
        <w:ind w:firstLine="420" w:firstLineChars="200"/>
        <w:rPr>
          <w:rFonts w:hint="eastAsia"/>
          <w:szCs w:val="21"/>
        </w:rPr>
      </w:pPr>
      <w:r>
        <w:rPr>
          <w:rFonts w:hint="eastAsia"/>
          <w:szCs w:val="21"/>
        </w:rPr>
        <w:t>（二）公司的董事、高级管理人员；</w:t>
      </w:r>
    </w:p>
    <w:p w14:paraId="72AC0FC1">
      <w:pPr>
        <w:spacing w:line="360" w:lineRule="auto"/>
        <w:ind w:firstLine="420" w:firstLineChars="200"/>
        <w:rPr>
          <w:rFonts w:hint="eastAsia"/>
          <w:szCs w:val="21"/>
        </w:rPr>
      </w:pPr>
      <w:r>
        <w:rPr>
          <w:rFonts w:hint="eastAsia"/>
          <w:szCs w:val="21"/>
        </w:rPr>
        <w:t>（三）本规则第四条第（一）项所列法人或者其他组织的董事、监事及高级管理人员；</w:t>
      </w:r>
    </w:p>
    <w:p w14:paraId="4D42921A">
      <w:pPr>
        <w:spacing w:line="360" w:lineRule="auto"/>
        <w:ind w:firstLine="420" w:firstLineChars="200"/>
        <w:rPr>
          <w:rFonts w:hint="eastAsia"/>
          <w:szCs w:val="21"/>
        </w:rPr>
      </w:pPr>
      <w:r>
        <w:rPr>
          <w:rFonts w:hint="eastAsia"/>
          <w:szCs w:val="21"/>
        </w:rPr>
        <w:t>（四）本条第（一）项至第（三）项所述人士的关系密切的家庭成员，包括配偶、父母及配偶的父母、兄弟姐妹及其配偶、年满18周岁的子女及其配偶、配偶的兄弟姐妹和子女配偶的父母；</w:t>
      </w:r>
    </w:p>
    <w:p w14:paraId="28DE3C5A">
      <w:pPr>
        <w:spacing w:line="360" w:lineRule="auto"/>
        <w:ind w:firstLine="420" w:firstLineChars="200"/>
        <w:rPr>
          <w:rFonts w:hint="eastAsia"/>
          <w:szCs w:val="21"/>
        </w:rPr>
      </w:pPr>
      <w:r>
        <w:rPr>
          <w:rFonts w:hint="eastAsia"/>
          <w:szCs w:val="21"/>
        </w:rPr>
        <w:t>（五）中国证监会、深圳证券交易所或公司根据实质重于形式的原则认定的其他与公司有特殊关系，可能造成公司及其利益倾斜的自然人。</w:t>
      </w:r>
    </w:p>
    <w:p w14:paraId="7E50ED6B">
      <w:pPr>
        <w:spacing w:line="360" w:lineRule="auto"/>
        <w:ind w:firstLine="413" w:firstLineChars="196"/>
        <w:rPr>
          <w:rFonts w:hint="eastAsia"/>
          <w:szCs w:val="21"/>
        </w:rPr>
      </w:pPr>
      <w:r>
        <w:rPr>
          <w:rFonts w:hint="eastAsia"/>
          <w:b/>
          <w:szCs w:val="21"/>
        </w:rPr>
        <w:t>第六条</w:t>
      </w:r>
      <w:r>
        <w:rPr>
          <w:rFonts w:hint="eastAsia"/>
          <w:szCs w:val="21"/>
        </w:rPr>
        <w:t xml:space="preserve"> 具有以下情形之一的法人或自然人，视同为公司的关联人：</w:t>
      </w:r>
    </w:p>
    <w:p w14:paraId="5637E3DB">
      <w:pPr>
        <w:spacing w:line="360" w:lineRule="auto"/>
        <w:ind w:firstLine="420" w:firstLineChars="200"/>
        <w:rPr>
          <w:rFonts w:hint="eastAsia"/>
          <w:szCs w:val="21"/>
        </w:rPr>
      </w:pPr>
      <w:r>
        <w:rPr>
          <w:rFonts w:hint="eastAsia"/>
          <w:szCs w:val="21"/>
        </w:rPr>
        <w:t>（一）因与公司或其关联人签署协议或作出安排，在协议或安排生效后，或在未来十二个月内，具有本规则第四条或第五条规定情形之一的；</w:t>
      </w:r>
    </w:p>
    <w:p w14:paraId="0FDB5685">
      <w:pPr>
        <w:spacing w:line="360" w:lineRule="auto"/>
        <w:ind w:firstLine="420" w:firstLineChars="200"/>
        <w:rPr>
          <w:rFonts w:hint="eastAsia"/>
          <w:szCs w:val="21"/>
        </w:rPr>
      </w:pPr>
      <w:r>
        <w:rPr>
          <w:rFonts w:hint="eastAsia"/>
          <w:szCs w:val="21"/>
        </w:rPr>
        <w:t>（二）过去十二个月内，曾经具有本规则第四条或第五条规定情形之一的。</w:t>
      </w:r>
    </w:p>
    <w:p w14:paraId="7246093D">
      <w:pPr>
        <w:spacing w:line="360" w:lineRule="auto"/>
        <w:ind w:firstLine="413" w:firstLineChars="196"/>
        <w:rPr>
          <w:rFonts w:hint="eastAsia"/>
          <w:szCs w:val="21"/>
        </w:rPr>
      </w:pPr>
      <w:r>
        <w:rPr>
          <w:rFonts w:hint="eastAsia"/>
          <w:b/>
          <w:szCs w:val="21"/>
        </w:rPr>
        <w:t>第七条</w:t>
      </w:r>
      <w:r>
        <w:rPr>
          <w:rFonts w:hint="eastAsia"/>
          <w:szCs w:val="21"/>
        </w:rPr>
        <w:t xml:space="preserve"> 关联关系主要是指在财务和经营决策中，有能力对公司直接或间接控制或施加重大影响的方式或途径，包括但不限于关联人与公司存在的股权关系、人事关系、管理关系及商业利益关系。</w:t>
      </w:r>
    </w:p>
    <w:p w14:paraId="2B7DEE19">
      <w:pPr>
        <w:spacing w:line="360" w:lineRule="auto"/>
        <w:ind w:firstLine="413" w:firstLineChars="196"/>
        <w:rPr>
          <w:rFonts w:hint="eastAsia"/>
          <w:szCs w:val="21"/>
        </w:rPr>
      </w:pPr>
      <w:r>
        <w:rPr>
          <w:rFonts w:hint="eastAsia"/>
          <w:b/>
          <w:szCs w:val="21"/>
        </w:rPr>
        <w:t>第八条</w:t>
      </w:r>
      <w:r>
        <w:rPr>
          <w:rFonts w:hint="eastAsia"/>
          <w:szCs w:val="21"/>
        </w:rPr>
        <w:t xml:space="preserve"> 关联关系应从关联方对公司进行控制或影响的具体方式、途径及程度等方面进行实质判断。</w:t>
      </w:r>
    </w:p>
    <w:p w14:paraId="2E0C8B3C">
      <w:pPr>
        <w:pStyle w:val="2"/>
        <w:bidi w:val="0"/>
        <w:rPr>
          <w:rFonts w:hint="eastAsia"/>
        </w:rPr>
      </w:pPr>
      <w:r>
        <w:rPr>
          <w:rFonts w:hint="eastAsia"/>
          <w:lang w:val="en-US" w:eastAsia="zh-CN"/>
        </w:rPr>
        <w:t xml:space="preserve"> </w:t>
      </w:r>
      <w:r>
        <w:rPr>
          <w:rFonts w:hint="eastAsia"/>
        </w:rPr>
        <w:t>关联交易</w:t>
      </w:r>
    </w:p>
    <w:p w14:paraId="45C5BC55">
      <w:pPr>
        <w:spacing w:line="360" w:lineRule="auto"/>
        <w:ind w:firstLine="413" w:firstLineChars="196"/>
        <w:rPr>
          <w:rFonts w:hint="eastAsia"/>
          <w:szCs w:val="21"/>
        </w:rPr>
      </w:pPr>
      <w:r>
        <w:rPr>
          <w:rFonts w:hint="eastAsia"/>
          <w:b/>
          <w:szCs w:val="21"/>
        </w:rPr>
        <w:t>第九条</w:t>
      </w:r>
      <w:r>
        <w:rPr>
          <w:rFonts w:hint="eastAsia"/>
          <w:szCs w:val="21"/>
        </w:rPr>
        <w:t xml:space="preserve"> 关联交易是指公司及控股子公司与关联方之间发生的转移资源或义务的事项，包括但不限于：</w:t>
      </w:r>
    </w:p>
    <w:p w14:paraId="7A60A493">
      <w:pPr>
        <w:spacing w:line="360" w:lineRule="auto"/>
        <w:ind w:firstLine="420" w:firstLineChars="200"/>
        <w:rPr>
          <w:rFonts w:hint="eastAsia"/>
          <w:szCs w:val="21"/>
        </w:rPr>
      </w:pPr>
      <w:r>
        <w:rPr>
          <w:rFonts w:hint="eastAsia"/>
          <w:szCs w:val="21"/>
        </w:rPr>
        <w:t xml:space="preserve">（一）购买或者销售资产； </w:t>
      </w:r>
    </w:p>
    <w:p w14:paraId="76D96A82">
      <w:pPr>
        <w:spacing w:line="360" w:lineRule="auto"/>
        <w:ind w:firstLine="420" w:firstLineChars="200"/>
        <w:rPr>
          <w:rFonts w:hint="eastAsia"/>
          <w:szCs w:val="21"/>
        </w:rPr>
      </w:pPr>
      <w:r>
        <w:rPr>
          <w:rFonts w:hint="eastAsia"/>
          <w:szCs w:val="21"/>
        </w:rPr>
        <w:t xml:space="preserve">（二）对外投资（含委托理财、对子公司投资等，设立或者增资全资子公司除外）； </w:t>
      </w:r>
    </w:p>
    <w:p w14:paraId="63A68125">
      <w:pPr>
        <w:spacing w:line="360" w:lineRule="auto"/>
        <w:ind w:firstLine="420" w:firstLineChars="200"/>
        <w:rPr>
          <w:rFonts w:hint="eastAsia"/>
          <w:szCs w:val="21"/>
        </w:rPr>
      </w:pPr>
      <w:r>
        <w:rPr>
          <w:rFonts w:hint="eastAsia"/>
          <w:szCs w:val="21"/>
        </w:rPr>
        <w:t xml:space="preserve">（三）提供财务资助（含委托贷款）； </w:t>
      </w:r>
    </w:p>
    <w:p w14:paraId="3726C16C">
      <w:pPr>
        <w:spacing w:line="360" w:lineRule="auto"/>
        <w:ind w:firstLine="420" w:firstLineChars="200"/>
        <w:rPr>
          <w:rFonts w:hint="eastAsia"/>
          <w:szCs w:val="21"/>
        </w:rPr>
      </w:pPr>
      <w:r>
        <w:rPr>
          <w:rFonts w:hint="eastAsia"/>
          <w:szCs w:val="21"/>
        </w:rPr>
        <w:t xml:space="preserve">（四）提供担保（含对子公司担保）； </w:t>
      </w:r>
    </w:p>
    <w:p w14:paraId="11890CC0">
      <w:pPr>
        <w:spacing w:line="360" w:lineRule="auto"/>
        <w:ind w:firstLine="420" w:firstLineChars="200"/>
        <w:rPr>
          <w:rFonts w:hint="eastAsia"/>
          <w:szCs w:val="21"/>
        </w:rPr>
      </w:pPr>
      <w:r>
        <w:rPr>
          <w:rFonts w:hint="eastAsia"/>
          <w:szCs w:val="21"/>
        </w:rPr>
        <w:t>（五）租入或者租出资产；</w:t>
      </w:r>
    </w:p>
    <w:p w14:paraId="6CA543FB">
      <w:pPr>
        <w:spacing w:line="360" w:lineRule="auto"/>
        <w:ind w:firstLine="420" w:firstLineChars="200"/>
        <w:rPr>
          <w:rFonts w:hint="eastAsia"/>
          <w:szCs w:val="21"/>
        </w:rPr>
      </w:pPr>
      <w:r>
        <w:rPr>
          <w:rFonts w:hint="eastAsia"/>
          <w:szCs w:val="21"/>
        </w:rPr>
        <w:t>（六）签订管理方面的合同（含委托经营、受托经营等）；</w:t>
      </w:r>
    </w:p>
    <w:p w14:paraId="291AAC0D">
      <w:pPr>
        <w:spacing w:line="360" w:lineRule="auto"/>
        <w:ind w:firstLine="420" w:firstLineChars="200"/>
        <w:rPr>
          <w:rFonts w:hint="eastAsia"/>
          <w:szCs w:val="21"/>
        </w:rPr>
      </w:pPr>
      <w:r>
        <w:rPr>
          <w:rFonts w:hint="eastAsia"/>
          <w:szCs w:val="21"/>
        </w:rPr>
        <w:t>（七）赠与或者受赠资产；</w:t>
      </w:r>
    </w:p>
    <w:p w14:paraId="0511B6ED">
      <w:pPr>
        <w:spacing w:line="360" w:lineRule="auto"/>
        <w:ind w:firstLine="420" w:firstLineChars="200"/>
        <w:rPr>
          <w:rFonts w:hint="eastAsia"/>
          <w:szCs w:val="21"/>
        </w:rPr>
      </w:pPr>
      <w:r>
        <w:rPr>
          <w:rFonts w:hint="eastAsia"/>
          <w:szCs w:val="21"/>
        </w:rPr>
        <w:t>（八）债权、债务重组；</w:t>
      </w:r>
    </w:p>
    <w:p w14:paraId="5BD6A353">
      <w:pPr>
        <w:spacing w:line="360" w:lineRule="auto"/>
        <w:ind w:firstLine="420" w:firstLineChars="200"/>
        <w:rPr>
          <w:rFonts w:hint="eastAsia"/>
          <w:szCs w:val="21"/>
        </w:rPr>
      </w:pPr>
      <w:r>
        <w:rPr>
          <w:rFonts w:hint="eastAsia"/>
          <w:szCs w:val="21"/>
        </w:rPr>
        <w:t>（九）研究与开发项目的转移；</w:t>
      </w:r>
    </w:p>
    <w:p w14:paraId="38C6C108">
      <w:pPr>
        <w:spacing w:line="360" w:lineRule="auto"/>
        <w:ind w:firstLine="420" w:firstLineChars="200"/>
        <w:rPr>
          <w:rFonts w:hint="eastAsia"/>
          <w:szCs w:val="21"/>
        </w:rPr>
      </w:pPr>
      <w:r>
        <w:rPr>
          <w:rFonts w:hint="eastAsia"/>
          <w:szCs w:val="21"/>
        </w:rPr>
        <w:t>（十）签订许可协议；</w:t>
      </w:r>
    </w:p>
    <w:p w14:paraId="0515D83E">
      <w:pPr>
        <w:spacing w:line="360" w:lineRule="auto"/>
        <w:ind w:firstLine="420" w:firstLineChars="200"/>
        <w:rPr>
          <w:rFonts w:hint="eastAsia"/>
          <w:szCs w:val="21"/>
        </w:rPr>
      </w:pPr>
      <w:r>
        <w:rPr>
          <w:rFonts w:hint="eastAsia"/>
          <w:szCs w:val="21"/>
        </w:rPr>
        <w:t>（十一）放弃权利（含放弃优先购买权、优先认缴出资权利等）；</w:t>
      </w:r>
    </w:p>
    <w:p w14:paraId="5B0FCA43">
      <w:pPr>
        <w:spacing w:line="360" w:lineRule="auto"/>
        <w:ind w:firstLine="420" w:firstLineChars="200"/>
        <w:rPr>
          <w:rFonts w:hint="eastAsia"/>
          <w:szCs w:val="21"/>
        </w:rPr>
      </w:pPr>
      <w:r>
        <w:rPr>
          <w:rFonts w:hint="eastAsia"/>
          <w:szCs w:val="21"/>
        </w:rPr>
        <w:t>（十二）购买原材料、燃料、动力；</w:t>
      </w:r>
    </w:p>
    <w:p w14:paraId="7DE324DF">
      <w:pPr>
        <w:spacing w:line="360" w:lineRule="auto"/>
        <w:ind w:firstLine="420" w:firstLineChars="200"/>
        <w:rPr>
          <w:rFonts w:hint="eastAsia"/>
          <w:szCs w:val="21"/>
        </w:rPr>
      </w:pPr>
      <w:r>
        <w:rPr>
          <w:rFonts w:hint="eastAsia"/>
          <w:szCs w:val="21"/>
        </w:rPr>
        <w:t>（十三）销售产品、商品；</w:t>
      </w:r>
    </w:p>
    <w:p w14:paraId="13A787B9">
      <w:pPr>
        <w:spacing w:line="360" w:lineRule="auto"/>
        <w:ind w:firstLine="420" w:firstLineChars="200"/>
        <w:rPr>
          <w:rFonts w:hint="eastAsia"/>
          <w:szCs w:val="21"/>
        </w:rPr>
      </w:pPr>
      <w:r>
        <w:rPr>
          <w:rFonts w:hint="eastAsia"/>
          <w:szCs w:val="21"/>
        </w:rPr>
        <w:t>（十四）提供或接受劳务；</w:t>
      </w:r>
    </w:p>
    <w:p w14:paraId="2AB54988">
      <w:pPr>
        <w:spacing w:line="360" w:lineRule="auto"/>
        <w:ind w:firstLine="420" w:firstLineChars="200"/>
        <w:rPr>
          <w:rFonts w:hint="eastAsia"/>
          <w:szCs w:val="21"/>
        </w:rPr>
      </w:pPr>
      <w:r>
        <w:rPr>
          <w:rFonts w:hint="eastAsia"/>
          <w:szCs w:val="21"/>
        </w:rPr>
        <w:t>（十五）委托或受托销售；</w:t>
      </w:r>
    </w:p>
    <w:p w14:paraId="57C2C33F">
      <w:pPr>
        <w:spacing w:line="360" w:lineRule="auto"/>
        <w:ind w:firstLine="420" w:firstLineChars="200"/>
        <w:rPr>
          <w:rFonts w:hint="eastAsia"/>
          <w:szCs w:val="21"/>
        </w:rPr>
      </w:pPr>
      <w:r>
        <w:rPr>
          <w:rFonts w:hint="eastAsia"/>
          <w:szCs w:val="21"/>
        </w:rPr>
        <w:t>（十六）与关联方共同投资；</w:t>
      </w:r>
    </w:p>
    <w:p w14:paraId="44D569EE">
      <w:pPr>
        <w:spacing w:line="360" w:lineRule="auto"/>
        <w:ind w:firstLine="420" w:firstLineChars="200"/>
        <w:rPr>
          <w:rFonts w:hint="eastAsia"/>
          <w:szCs w:val="21"/>
        </w:rPr>
      </w:pPr>
      <w:r>
        <w:rPr>
          <w:rFonts w:hint="eastAsia"/>
          <w:szCs w:val="21"/>
        </w:rPr>
        <w:t>（十七）中国证监会和证券交易所认为应当属于关联交易的其他事项。</w:t>
      </w:r>
    </w:p>
    <w:p w14:paraId="65C8F75B">
      <w:pPr>
        <w:spacing w:line="360" w:lineRule="auto"/>
        <w:ind w:firstLine="413" w:firstLineChars="196"/>
        <w:rPr>
          <w:rFonts w:hint="eastAsia"/>
          <w:szCs w:val="21"/>
        </w:rPr>
      </w:pPr>
      <w:r>
        <w:rPr>
          <w:rFonts w:hint="eastAsia"/>
          <w:b/>
          <w:szCs w:val="21"/>
        </w:rPr>
        <w:t>第十条</w:t>
      </w:r>
      <w:r>
        <w:rPr>
          <w:rFonts w:hint="eastAsia"/>
          <w:szCs w:val="21"/>
        </w:rPr>
        <w:t xml:space="preserve"> 公司关联交易应当遵循以下基本原则：</w:t>
      </w:r>
    </w:p>
    <w:p w14:paraId="7FF1B9CC">
      <w:pPr>
        <w:spacing w:line="360" w:lineRule="auto"/>
        <w:ind w:firstLine="420" w:firstLineChars="200"/>
        <w:rPr>
          <w:rFonts w:hint="eastAsia"/>
          <w:szCs w:val="21"/>
        </w:rPr>
      </w:pPr>
      <w:r>
        <w:rPr>
          <w:rFonts w:hint="eastAsia"/>
          <w:szCs w:val="21"/>
        </w:rPr>
        <w:t>（一）符合诚实信用的原则；</w:t>
      </w:r>
    </w:p>
    <w:p w14:paraId="568C9D29">
      <w:pPr>
        <w:spacing w:line="360" w:lineRule="auto"/>
        <w:ind w:firstLine="420" w:firstLineChars="200"/>
        <w:rPr>
          <w:rFonts w:hint="eastAsia"/>
          <w:szCs w:val="21"/>
        </w:rPr>
      </w:pPr>
      <w:r>
        <w:rPr>
          <w:rFonts w:hint="eastAsia"/>
          <w:szCs w:val="21"/>
        </w:rPr>
        <w:t>（二）不损害公司及非关联股东合法权益原则；</w:t>
      </w:r>
    </w:p>
    <w:p w14:paraId="71659D5A">
      <w:pPr>
        <w:spacing w:line="360" w:lineRule="auto"/>
        <w:ind w:firstLine="420" w:firstLineChars="200"/>
        <w:rPr>
          <w:rFonts w:hint="eastAsia"/>
          <w:szCs w:val="21"/>
        </w:rPr>
      </w:pPr>
      <w:r>
        <w:rPr>
          <w:rFonts w:hint="eastAsia"/>
          <w:szCs w:val="21"/>
        </w:rPr>
        <w:t>（三）关联方如享有公司股东会表决权，应当回避表决；</w:t>
      </w:r>
    </w:p>
    <w:p w14:paraId="6484BDDA">
      <w:pPr>
        <w:spacing w:line="360" w:lineRule="auto"/>
        <w:ind w:firstLine="420" w:firstLineChars="200"/>
        <w:rPr>
          <w:rFonts w:hint="eastAsia"/>
          <w:szCs w:val="21"/>
        </w:rPr>
      </w:pPr>
      <w:r>
        <w:rPr>
          <w:rFonts w:hint="eastAsia"/>
          <w:szCs w:val="21"/>
        </w:rPr>
        <w:t>（四）有任何利害关系的董事，在董事会对该事项进行表决时，应当回避；</w:t>
      </w:r>
    </w:p>
    <w:p w14:paraId="301E113C">
      <w:pPr>
        <w:spacing w:line="360" w:lineRule="auto"/>
        <w:ind w:firstLine="420" w:firstLineChars="200"/>
        <w:rPr>
          <w:szCs w:val="21"/>
        </w:rPr>
      </w:pPr>
      <w:r>
        <w:rPr>
          <w:rFonts w:hint="eastAsia"/>
          <w:szCs w:val="21"/>
        </w:rPr>
        <w:t>（五）公司董事会应当根据客观标准判断该关联交易是否对公司有利。必要时应当聘请专业评估师或财务顾问；</w:t>
      </w:r>
    </w:p>
    <w:p w14:paraId="57977294">
      <w:pPr>
        <w:spacing w:line="360" w:lineRule="auto"/>
        <w:ind w:firstLine="420" w:firstLineChars="200"/>
        <w:rPr>
          <w:rFonts w:hint="eastAsia"/>
          <w:szCs w:val="21"/>
        </w:rPr>
      </w:pPr>
      <w:r>
        <w:rPr>
          <w:rFonts w:hint="eastAsia"/>
          <w:szCs w:val="21"/>
        </w:rPr>
        <w:t>（六）</w:t>
      </w:r>
      <w:r>
        <w:rPr>
          <w:rFonts w:hint="eastAsia"/>
          <w:b w:val="0"/>
          <w:bCs w:val="0"/>
          <w:szCs w:val="21"/>
        </w:rPr>
        <w:t>审计委员</w:t>
      </w:r>
      <w:r>
        <w:rPr>
          <w:rFonts w:hint="eastAsia"/>
          <w:szCs w:val="21"/>
        </w:rPr>
        <w:t>会及独立董事</w:t>
      </w:r>
      <w:r>
        <w:rPr>
          <w:rFonts w:hint="eastAsia"/>
          <w:szCs w:val="21"/>
          <w:lang w:val="en-US" w:eastAsia="zh-CN"/>
        </w:rPr>
        <w:t>专门</w:t>
      </w:r>
      <w:r>
        <w:rPr>
          <w:rFonts w:hint="eastAsia"/>
          <w:szCs w:val="21"/>
        </w:rPr>
        <w:t>会议作出审议。</w:t>
      </w:r>
    </w:p>
    <w:p w14:paraId="226FBC3F">
      <w:pPr>
        <w:spacing w:line="360" w:lineRule="auto"/>
        <w:ind w:firstLine="413" w:firstLineChars="196"/>
        <w:rPr>
          <w:rFonts w:hint="eastAsia"/>
          <w:szCs w:val="21"/>
        </w:rPr>
      </w:pPr>
      <w:r>
        <w:rPr>
          <w:rFonts w:hint="eastAsia"/>
          <w:b/>
          <w:szCs w:val="21"/>
        </w:rPr>
        <w:t>第十一条</w:t>
      </w:r>
      <w:r>
        <w:rPr>
          <w:rFonts w:hint="eastAsia"/>
          <w:szCs w:val="21"/>
        </w:rPr>
        <w:t xml:space="preserve"> 公司应采取有效措施防止关联人以垄断采购和销售业务渠道等方式干预公司的经营，损害公司和非关联股东的利益。关联交易的价格或收费原则应不偏离市场独立第三方的价格或收费的标准。公司应对关联交易的定价依据予以充分披露。</w:t>
      </w:r>
    </w:p>
    <w:p w14:paraId="1364AAA8">
      <w:pPr>
        <w:spacing w:line="360" w:lineRule="auto"/>
        <w:ind w:firstLine="413" w:firstLineChars="196"/>
        <w:rPr>
          <w:rFonts w:hint="eastAsia"/>
          <w:szCs w:val="21"/>
        </w:rPr>
      </w:pPr>
      <w:r>
        <w:rPr>
          <w:rFonts w:hint="eastAsia"/>
          <w:b/>
          <w:szCs w:val="21"/>
        </w:rPr>
        <w:t>第十二条</w:t>
      </w:r>
      <w:r>
        <w:rPr>
          <w:rFonts w:hint="eastAsia"/>
          <w:szCs w:val="21"/>
        </w:rPr>
        <w:t xml:space="preserve"> 公司与关联人之间的关联交易应签订书面合同或协议，并遵循平等自愿、等价有偿的原则，合同或协议内容应明确、具体。</w:t>
      </w:r>
    </w:p>
    <w:p w14:paraId="63B1BC11">
      <w:pPr>
        <w:spacing w:line="360" w:lineRule="auto"/>
        <w:ind w:firstLine="413" w:firstLineChars="196"/>
        <w:rPr>
          <w:rFonts w:hint="eastAsia"/>
          <w:szCs w:val="21"/>
        </w:rPr>
      </w:pPr>
      <w:r>
        <w:rPr>
          <w:rFonts w:hint="eastAsia"/>
          <w:b/>
          <w:szCs w:val="21"/>
        </w:rPr>
        <w:t>第十三条</w:t>
      </w:r>
      <w:r>
        <w:rPr>
          <w:rFonts w:hint="eastAsia"/>
          <w:szCs w:val="21"/>
        </w:rPr>
        <w:t xml:space="preserve"> 公司应采取有效措施防止股东及其关联方以各种形式占用或转移公司的资金、资产及其他资源。</w:t>
      </w:r>
    </w:p>
    <w:p w14:paraId="45A7BB68">
      <w:pPr>
        <w:pStyle w:val="2"/>
        <w:bidi w:val="0"/>
        <w:rPr>
          <w:rFonts w:hint="eastAsia"/>
        </w:rPr>
      </w:pPr>
      <w:r>
        <w:rPr>
          <w:rFonts w:hint="eastAsia"/>
          <w:lang w:val="en-US" w:eastAsia="zh-CN"/>
        </w:rPr>
        <w:t xml:space="preserve"> </w:t>
      </w:r>
      <w:r>
        <w:rPr>
          <w:rFonts w:hint="eastAsia"/>
        </w:rPr>
        <w:t>关联交易的决策程序</w:t>
      </w:r>
    </w:p>
    <w:p w14:paraId="1DDFB596">
      <w:pPr>
        <w:spacing w:line="360" w:lineRule="auto"/>
        <w:ind w:firstLine="517" w:firstLineChars="245"/>
        <w:rPr>
          <w:rFonts w:hint="eastAsia"/>
          <w:szCs w:val="21"/>
        </w:rPr>
      </w:pPr>
      <w:r>
        <w:rPr>
          <w:rFonts w:hint="eastAsia"/>
          <w:b/>
          <w:szCs w:val="21"/>
        </w:rPr>
        <w:t>第十四条</w:t>
      </w:r>
      <w:r>
        <w:rPr>
          <w:rFonts w:hint="eastAsia"/>
          <w:szCs w:val="21"/>
        </w:rPr>
        <w:t xml:space="preserve"> 公司与关联方签署涉及关联交易的合同、协议或作出其他安排时，应当采取必要的回避措施：</w:t>
      </w:r>
    </w:p>
    <w:p w14:paraId="5778D996">
      <w:pPr>
        <w:spacing w:line="360" w:lineRule="auto"/>
        <w:ind w:firstLine="420" w:firstLineChars="200"/>
        <w:rPr>
          <w:rFonts w:hint="eastAsia"/>
          <w:szCs w:val="21"/>
        </w:rPr>
      </w:pPr>
      <w:r>
        <w:rPr>
          <w:rFonts w:hint="eastAsia"/>
          <w:szCs w:val="21"/>
        </w:rPr>
        <w:t>（一）任何个人只能代表一方签署协议；</w:t>
      </w:r>
    </w:p>
    <w:p w14:paraId="57864A89">
      <w:pPr>
        <w:spacing w:line="360" w:lineRule="auto"/>
        <w:ind w:firstLine="420" w:firstLineChars="200"/>
        <w:rPr>
          <w:rFonts w:hint="eastAsia"/>
          <w:szCs w:val="21"/>
        </w:rPr>
      </w:pPr>
      <w:r>
        <w:rPr>
          <w:rFonts w:hint="eastAsia"/>
          <w:szCs w:val="21"/>
        </w:rPr>
        <w:t>（二）关联方不得以任何方式干预公司的决定；</w:t>
      </w:r>
    </w:p>
    <w:p w14:paraId="013551C0">
      <w:pPr>
        <w:spacing w:line="360" w:lineRule="auto"/>
        <w:ind w:firstLine="420" w:firstLineChars="200"/>
        <w:rPr>
          <w:rFonts w:hint="eastAsia"/>
          <w:szCs w:val="21"/>
        </w:rPr>
      </w:pPr>
      <w:r>
        <w:rPr>
          <w:rFonts w:hint="eastAsia"/>
          <w:szCs w:val="21"/>
        </w:rPr>
        <w:t>（三）董事会审议关联交易事项时，关联董事应当回避表决，也不得代理其他董事行使表决权，其表决权不计入表决权总数。</w:t>
      </w:r>
    </w:p>
    <w:p w14:paraId="6B7697FE">
      <w:pPr>
        <w:spacing w:line="360" w:lineRule="auto"/>
        <w:ind w:firstLine="420" w:firstLineChars="200"/>
        <w:rPr>
          <w:rFonts w:hint="eastAsia"/>
          <w:szCs w:val="21"/>
        </w:rPr>
      </w:pPr>
      <w:r>
        <w:rPr>
          <w:rFonts w:hint="eastAsia"/>
          <w:szCs w:val="21"/>
        </w:rPr>
        <w:t>关联董事包括下列董事或者具有下列情形之一的董事：</w:t>
      </w:r>
    </w:p>
    <w:p w14:paraId="54BF55D2">
      <w:pPr>
        <w:spacing w:line="360" w:lineRule="auto"/>
        <w:ind w:firstLine="420" w:firstLineChars="200"/>
        <w:rPr>
          <w:rFonts w:hint="eastAsia"/>
          <w:szCs w:val="21"/>
        </w:rPr>
      </w:pPr>
      <w:r>
        <w:rPr>
          <w:rFonts w:hint="eastAsia"/>
          <w:szCs w:val="21"/>
        </w:rPr>
        <w:t>1、交易对方；</w:t>
      </w:r>
    </w:p>
    <w:p w14:paraId="219D36B1">
      <w:pPr>
        <w:spacing w:line="360" w:lineRule="auto"/>
        <w:ind w:firstLine="420" w:firstLineChars="200"/>
        <w:rPr>
          <w:rFonts w:hint="eastAsia"/>
          <w:szCs w:val="21"/>
        </w:rPr>
      </w:pPr>
      <w:r>
        <w:rPr>
          <w:rFonts w:hint="eastAsia"/>
          <w:szCs w:val="21"/>
        </w:rPr>
        <w:t>2、在交易对方任职，或在能直接或间接控制该交易对方的法人或者其他组织、该交易对方直接或者间接控制的法人或者其他组织任职的；</w:t>
      </w:r>
    </w:p>
    <w:p w14:paraId="2EEFE606">
      <w:pPr>
        <w:spacing w:line="360" w:lineRule="auto"/>
        <w:ind w:firstLine="420" w:firstLineChars="200"/>
        <w:rPr>
          <w:rFonts w:hint="eastAsia"/>
          <w:szCs w:val="21"/>
        </w:rPr>
      </w:pPr>
      <w:r>
        <w:rPr>
          <w:rFonts w:hint="eastAsia"/>
          <w:szCs w:val="21"/>
        </w:rPr>
        <w:t>3、拥有交易对方的直接或间接控制权的；</w:t>
      </w:r>
    </w:p>
    <w:p w14:paraId="41C5CB96">
      <w:pPr>
        <w:spacing w:line="360" w:lineRule="auto"/>
        <w:ind w:firstLine="420" w:firstLineChars="200"/>
        <w:rPr>
          <w:rFonts w:hint="eastAsia"/>
          <w:szCs w:val="21"/>
        </w:rPr>
      </w:pPr>
      <w:r>
        <w:rPr>
          <w:rFonts w:hint="eastAsia"/>
          <w:szCs w:val="21"/>
        </w:rPr>
        <w:t>4、交易对方或者其直接或间接控制人的关系密切的家庭成员（具体范围以本规则第五条第四项的规定为准）；</w:t>
      </w:r>
    </w:p>
    <w:p w14:paraId="382C09FE">
      <w:pPr>
        <w:spacing w:line="360" w:lineRule="auto"/>
        <w:ind w:firstLine="420" w:firstLineChars="200"/>
        <w:rPr>
          <w:rFonts w:hint="eastAsia"/>
          <w:szCs w:val="21"/>
        </w:rPr>
      </w:pPr>
      <w:r>
        <w:rPr>
          <w:rFonts w:hint="eastAsia"/>
          <w:szCs w:val="21"/>
        </w:rPr>
        <w:t>5、交易对方或者其直接或间接控制人的董事、监事和高级管理人员的关系密切的家庭成员（具体范围以本规则第五条第四项的规定为准）；</w:t>
      </w:r>
    </w:p>
    <w:p w14:paraId="38350941">
      <w:pPr>
        <w:spacing w:line="360" w:lineRule="auto"/>
        <w:ind w:firstLine="420" w:firstLineChars="200"/>
        <w:rPr>
          <w:rFonts w:hint="eastAsia"/>
          <w:szCs w:val="21"/>
        </w:rPr>
      </w:pPr>
      <w:r>
        <w:rPr>
          <w:rFonts w:hint="eastAsia"/>
          <w:szCs w:val="21"/>
        </w:rPr>
        <w:t>6、中国证监会、深圳证券交易所或公司认定的因其他原因使其独立的商业判断可能受到影响的人士。</w:t>
      </w:r>
    </w:p>
    <w:p w14:paraId="4EBB2C44">
      <w:pPr>
        <w:spacing w:line="360" w:lineRule="auto"/>
        <w:ind w:firstLine="420" w:firstLineChars="200"/>
        <w:rPr>
          <w:rFonts w:hint="eastAsia"/>
          <w:szCs w:val="21"/>
        </w:rPr>
      </w:pPr>
      <w:r>
        <w:rPr>
          <w:rFonts w:hint="eastAsia"/>
          <w:szCs w:val="21"/>
        </w:rPr>
        <w:t>（四）股东会审议关联交易事项时，具有下列情形之一的股东应当回避表决：</w:t>
      </w:r>
    </w:p>
    <w:p w14:paraId="3155EA83">
      <w:pPr>
        <w:spacing w:line="360" w:lineRule="auto"/>
        <w:ind w:firstLine="525" w:firstLineChars="250"/>
        <w:rPr>
          <w:rFonts w:hint="eastAsia"/>
          <w:szCs w:val="21"/>
        </w:rPr>
      </w:pPr>
      <w:r>
        <w:rPr>
          <w:rFonts w:hint="eastAsia"/>
          <w:szCs w:val="21"/>
        </w:rPr>
        <w:t>1、交易对方；</w:t>
      </w:r>
    </w:p>
    <w:p w14:paraId="191AE764">
      <w:pPr>
        <w:spacing w:line="360" w:lineRule="auto"/>
        <w:ind w:firstLine="525" w:firstLineChars="250"/>
        <w:rPr>
          <w:rFonts w:hint="eastAsia"/>
          <w:szCs w:val="21"/>
        </w:rPr>
      </w:pPr>
      <w:r>
        <w:rPr>
          <w:rFonts w:hint="eastAsia"/>
          <w:szCs w:val="21"/>
        </w:rPr>
        <w:t>2、拥有交易对方直接或间接控制权的；</w:t>
      </w:r>
    </w:p>
    <w:p w14:paraId="222BEFDF">
      <w:pPr>
        <w:spacing w:line="360" w:lineRule="auto"/>
        <w:ind w:firstLine="525" w:firstLineChars="250"/>
        <w:rPr>
          <w:rFonts w:hint="eastAsia"/>
          <w:szCs w:val="21"/>
        </w:rPr>
      </w:pPr>
      <w:r>
        <w:rPr>
          <w:rFonts w:hint="eastAsia"/>
          <w:szCs w:val="21"/>
        </w:rPr>
        <w:t>3、被交易对方直接或间接控制的；</w:t>
      </w:r>
    </w:p>
    <w:p w14:paraId="68E58E42">
      <w:pPr>
        <w:spacing w:line="360" w:lineRule="auto"/>
        <w:ind w:firstLine="525" w:firstLineChars="250"/>
        <w:rPr>
          <w:rFonts w:hint="eastAsia"/>
          <w:szCs w:val="21"/>
        </w:rPr>
      </w:pPr>
      <w:r>
        <w:rPr>
          <w:rFonts w:hint="eastAsia"/>
          <w:szCs w:val="21"/>
        </w:rPr>
        <w:t>4、与交易对方受同一法人或自然人直接或间接控制的；</w:t>
      </w:r>
    </w:p>
    <w:p w14:paraId="0F41D385">
      <w:pPr>
        <w:spacing w:line="360" w:lineRule="auto"/>
        <w:ind w:firstLine="525" w:firstLineChars="250"/>
        <w:rPr>
          <w:rFonts w:hint="eastAsia"/>
          <w:szCs w:val="21"/>
        </w:rPr>
      </w:pPr>
      <w:r>
        <w:rPr>
          <w:rFonts w:hint="eastAsia"/>
          <w:szCs w:val="21"/>
        </w:rPr>
        <w:t>5、交易对方或者其直接或者间接控制人的关系密切的家庭成员（具体范围以本规则第五条第四项的规定为准）；</w:t>
      </w:r>
    </w:p>
    <w:p w14:paraId="0A053CB9">
      <w:pPr>
        <w:spacing w:line="360" w:lineRule="auto"/>
        <w:ind w:firstLine="525" w:firstLineChars="250"/>
        <w:rPr>
          <w:rFonts w:hint="eastAsia"/>
          <w:szCs w:val="21"/>
        </w:rPr>
      </w:pPr>
      <w:r>
        <w:rPr>
          <w:rFonts w:hint="eastAsia"/>
          <w:szCs w:val="21"/>
        </w:rPr>
        <w:t>6、在交易对方任职，或者在能直接或者间接控制该交易对方的法人单位或者该交易对方直接或者间接控制的法人单位任职的（适用于股东为自然人的情形）；</w:t>
      </w:r>
    </w:p>
    <w:p w14:paraId="74E588B7">
      <w:pPr>
        <w:spacing w:line="360" w:lineRule="auto"/>
        <w:ind w:firstLine="525" w:firstLineChars="250"/>
        <w:rPr>
          <w:rFonts w:hint="eastAsia"/>
          <w:szCs w:val="21"/>
        </w:rPr>
      </w:pPr>
      <w:r>
        <w:rPr>
          <w:rFonts w:hint="eastAsia"/>
          <w:szCs w:val="21"/>
        </w:rPr>
        <w:t>7、因与交易对方或者其关联人存在尚未履行完毕的股权转让协议或者其他协议而使其表决权受到限制或影响的；</w:t>
      </w:r>
    </w:p>
    <w:p w14:paraId="60210C1D">
      <w:pPr>
        <w:spacing w:line="360" w:lineRule="auto"/>
        <w:ind w:firstLine="525" w:firstLineChars="250"/>
        <w:rPr>
          <w:rFonts w:hint="eastAsia"/>
          <w:szCs w:val="21"/>
        </w:rPr>
      </w:pPr>
      <w:r>
        <w:rPr>
          <w:rFonts w:hint="eastAsia"/>
          <w:szCs w:val="21"/>
        </w:rPr>
        <w:t>8、中国证监会或深圳证券交易所认定的可能造成公司对其利益倾斜的法人或自然人。</w:t>
      </w:r>
    </w:p>
    <w:p w14:paraId="11FD1905">
      <w:pPr>
        <w:spacing w:line="360" w:lineRule="auto"/>
        <w:ind w:firstLine="517" w:firstLineChars="245"/>
        <w:rPr>
          <w:rFonts w:hint="eastAsia"/>
          <w:szCs w:val="21"/>
        </w:rPr>
      </w:pPr>
      <w:r>
        <w:rPr>
          <w:rFonts w:hint="eastAsia"/>
          <w:b/>
          <w:szCs w:val="21"/>
        </w:rPr>
        <w:t>第十五条</w:t>
      </w:r>
      <w:r>
        <w:rPr>
          <w:rFonts w:hint="eastAsia"/>
          <w:szCs w:val="21"/>
        </w:rPr>
        <w:t xml:space="preserve"> 公司董事会审议关联交易事项时，关联董事应当回避表决，也不得代理其他董事行使表决权，其表决权不计入表决权总数。该董事会会议由过半数的非关联董事出席即可举行，董事会会议所做决议须经非关联董事过半数通过。出席董事会的非关联董事人数不足三人的，公司应当将该交易提交股东会审议。</w:t>
      </w:r>
    </w:p>
    <w:p w14:paraId="47023EFA">
      <w:pPr>
        <w:spacing w:line="360" w:lineRule="auto"/>
        <w:ind w:firstLine="517" w:firstLineChars="245"/>
        <w:rPr>
          <w:rFonts w:hint="eastAsia"/>
          <w:szCs w:val="21"/>
        </w:rPr>
      </w:pPr>
      <w:r>
        <w:rPr>
          <w:rFonts w:hint="eastAsia"/>
          <w:b/>
          <w:szCs w:val="21"/>
        </w:rPr>
        <w:t>第十六条</w:t>
      </w:r>
      <w:r>
        <w:rPr>
          <w:rFonts w:hint="eastAsia"/>
          <w:szCs w:val="21"/>
        </w:rPr>
        <w:t xml:space="preserve"> 股东会审议有关关联交易事项时，关联股东不应当参与投票表决，并且不得代理其他股东行使表决权，其所代表的有表决权的股份数不计入有表决权股份总数；股东会决议公告应当充分披露非关联股东的表决情况。</w:t>
      </w:r>
    </w:p>
    <w:p w14:paraId="2AF664E8">
      <w:pPr>
        <w:spacing w:line="360" w:lineRule="auto"/>
        <w:ind w:firstLine="420" w:firstLineChars="200"/>
        <w:rPr>
          <w:rFonts w:hint="eastAsia"/>
          <w:szCs w:val="21"/>
        </w:rPr>
      </w:pPr>
      <w:r>
        <w:rPr>
          <w:rFonts w:hint="eastAsia"/>
          <w:szCs w:val="21"/>
        </w:rPr>
        <w:t>关联股东明确表示回避的，由出席股东会的其他股东对有关关联交易事项进行审议表决，表决结果与股东会通过的其他决议具有同样法律效力。</w:t>
      </w:r>
    </w:p>
    <w:p w14:paraId="5AD2184F">
      <w:pPr>
        <w:spacing w:line="360" w:lineRule="auto"/>
        <w:ind w:firstLine="413" w:firstLineChars="196"/>
        <w:rPr>
          <w:rFonts w:hint="eastAsia"/>
          <w:szCs w:val="21"/>
        </w:rPr>
      </w:pPr>
      <w:r>
        <w:rPr>
          <w:rFonts w:hint="eastAsia"/>
          <w:b/>
          <w:szCs w:val="21"/>
        </w:rPr>
        <w:t xml:space="preserve">第十七条 </w:t>
      </w:r>
      <w:r>
        <w:rPr>
          <w:rFonts w:hint="eastAsia"/>
          <w:kern w:val="0"/>
          <w:szCs w:val="21"/>
        </w:rPr>
        <w:t>公司与关联自然人发生的成交金额超过30万元的关联交易行为（提供担保、提供财务资助除外）</w:t>
      </w:r>
      <w:r>
        <w:rPr>
          <w:rFonts w:hint="eastAsia"/>
          <w:szCs w:val="21"/>
        </w:rPr>
        <w:t>，应当经全体独立董事过半数同意后履行董事会审议程序，并及时披露。</w:t>
      </w:r>
    </w:p>
    <w:p w14:paraId="24E046E4">
      <w:pPr>
        <w:spacing w:line="360" w:lineRule="auto"/>
        <w:ind w:firstLine="413" w:firstLineChars="196"/>
        <w:rPr>
          <w:rFonts w:hint="eastAsia"/>
          <w:szCs w:val="21"/>
        </w:rPr>
      </w:pPr>
      <w:r>
        <w:rPr>
          <w:rFonts w:hint="eastAsia"/>
          <w:b/>
          <w:szCs w:val="21"/>
        </w:rPr>
        <w:t>第十八条</w:t>
      </w:r>
      <w:r>
        <w:rPr>
          <w:rFonts w:hint="eastAsia"/>
          <w:szCs w:val="21"/>
        </w:rPr>
        <w:t xml:space="preserve"> 公司与关联法人发生的成交金额超过300万元，且占公司最近一期经审计净资产绝对值0.5%以上的关联交易</w:t>
      </w:r>
      <w:r>
        <w:rPr>
          <w:rFonts w:hint="eastAsia"/>
          <w:kern w:val="0"/>
          <w:szCs w:val="21"/>
        </w:rPr>
        <w:t>（提供担保、提供财务资助除外）</w:t>
      </w:r>
      <w:r>
        <w:rPr>
          <w:rFonts w:hint="eastAsia"/>
          <w:szCs w:val="21"/>
        </w:rPr>
        <w:t>，应当经全体独立董事过半数同意后履行董事会审议程序，并及时披露。</w:t>
      </w:r>
    </w:p>
    <w:p w14:paraId="2C36054D">
      <w:pPr>
        <w:spacing w:line="360" w:lineRule="auto"/>
        <w:ind w:firstLine="413" w:firstLineChars="196"/>
        <w:rPr>
          <w:rFonts w:hint="eastAsia"/>
          <w:szCs w:val="21"/>
        </w:rPr>
      </w:pPr>
      <w:r>
        <w:rPr>
          <w:rFonts w:hint="eastAsia"/>
          <w:b/>
          <w:szCs w:val="21"/>
        </w:rPr>
        <w:t>第十九条</w:t>
      </w:r>
      <w:r>
        <w:rPr>
          <w:rFonts w:hint="eastAsia"/>
          <w:szCs w:val="21"/>
        </w:rPr>
        <w:t xml:space="preserve"> 公司与关联人发生的交易（提供担保除外）金额超过3,000万元，且占公司最近一期经审计净资产绝对值5％以上的关联交易，应当提交股东会审议，并按照相关规定披露评估或者审计报告。</w:t>
      </w:r>
    </w:p>
    <w:p w14:paraId="6CC7BA7E">
      <w:pPr>
        <w:spacing w:line="360" w:lineRule="auto"/>
        <w:ind w:firstLine="413" w:firstLineChars="196"/>
        <w:rPr>
          <w:szCs w:val="21"/>
        </w:rPr>
      </w:pPr>
      <w:r>
        <w:rPr>
          <w:rFonts w:hint="eastAsia"/>
          <w:b/>
          <w:szCs w:val="21"/>
        </w:rPr>
        <w:t>第二十条</w:t>
      </w:r>
      <w:r>
        <w:rPr>
          <w:rFonts w:hint="eastAsia"/>
          <w:szCs w:val="21"/>
        </w:rPr>
        <w:t xml:space="preserve"> 公司与关联人发生下列情形之一的交易时，可以免于审计或者评估： </w:t>
      </w:r>
    </w:p>
    <w:p w14:paraId="4EB69ECA">
      <w:pPr>
        <w:spacing w:line="360" w:lineRule="auto"/>
        <w:ind w:firstLine="411" w:firstLineChars="196"/>
        <w:rPr>
          <w:szCs w:val="21"/>
        </w:rPr>
      </w:pPr>
      <w:r>
        <w:rPr>
          <w:rFonts w:hint="eastAsia"/>
          <w:szCs w:val="21"/>
        </w:rPr>
        <w:t xml:space="preserve">（一）《上市规则》规定的日常关联交易； </w:t>
      </w:r>
    </w:p>
    <w:p w14:paraId="39DC4866">
      <w:pPr>
        <w:spacing w:line="360" w:lineRule="auto"/>
        <w:ind w:firstLine="411" w:firstLineChars="196"/>
        <w:rPr>
          <w:szCs w:val="21"/>
        </w:rPr>
      </w:pPr>
      <w:r>
        <w:rPr>
          <w:rFonts w:hint="eastAsia"/>
          <w:szCs w:val="21"/>
        </w:rPr>
        <w:t xml:space="preserve">（二）与关联人等各方均以现金出资，且按照出资比例确定各方在所投资主体的权益比例； </w:t>
      </w:r>
    </w:p>
    <w:p w14:paraId="12AEC7E1">
      <w:pPr>
        <w:spacing w:line="360" w:lineRule="auto"/>
        <w:ind w:firstLine="411" w:firstLineChars="196"/>
        <w:rPr>
          <w:szCs w:val="21"/>
        </w:rPr>
      </w:pPr>
      <w:r>
        <w:rPr>
          <w:rFonts w:hint="eastAsia"/>
          <w:szCs w:val="21"/>
        </w:rPr>
        <w:t xml:space="preserve">（三）深圳证券交易所规定的其他情形。 </w:t>
      </w:r>
    </w:p>
    <w:p w14:paraId="2A61376D">
      <w:pPr>
        <w:spacing w:line="360" w:lineRule="auto"/>
        <w:ind w:firstLine="411" w:firstLineChars="196"/>
        <w:rPr>
          <w:rFonts w:hint="eastAsia"/>
          <w:szCs w:val="21"/>
        </w:rPr>
      </w:pPr>
      <w:r>
        <w:rPr>
          <w:rFonts w:hint="eastAsia"/>
          <w:szCs w:val="21"/>
        </w:rPr>
        <w:t>关联交易虽未达到本规则第十九条标准，但深圳证券交易所认为有必要的，公司应当按照相关规定披露审计或者评估报告。</w:t>
      </w:r>
    </w:p>
    <w:p w14:paraId="116AD5E0">
      <w:pPr>
        <w:spacing w:line="360" w:lineRule="auto"/>
        <w:ind w:firstLine="413" w:firstLineChars="196"/>
        <w:rPr>
          <w:rFonts w:hint="eastAsia"/>
          <w:szCs w:val="21"/>
        </w:rPr>
      </w:pPr>
      <w:r>
        <w:rPr>
          <w:rFonts w:hint="eastAsia"/>
          <w:b/>
          <w:szCs w:val="21"/>
        </w:rPr>
        <w:t>第二十一条</w:t>
      </w:r>
      <w:r>
        <w:rPr>
          <w:rFonts w:hint="eastAsia"/>
          <w:szCs w:val="21"/>
        </w:rPr>
        <w:t xml:space="preserve"> 不属于董事会或股东会批准范围内的关联交易事项由公司总经理会议批准，有利害关系的人士在总经理会议上应当回避表决。</w:t>
      </w:r>
    </w:p>
    <w:p w14:paraId="7911306D">
      <w:pPr>
        <w:spacing w:line="360" w:lineRule="auto"/>
        <w:ind w:firstLine="413" w:firstLineChars="196"/>
        <w:rPr>
          <w:rFonts w:hint="eastAsia"/>
          <w:szCs w:val="21"/>
        </w:rPr>
      </w:pPr>
      <w:r>
        <w:rPr>
          <w:rFonts w:hint="eastAsia"/>
          <w:b/>
          <w:szCs w:val="21"/>
        </w:rPr>
        <w:t>第二十二条</w:t>
      </w:r>
      <w:r>
        <w:rPr>
          <w:rFonts w:hint="eastAsia"/>
          <w:szCs w:val="21"/>
        </w:rPr>
        <w:t xml:space="preserve"> 董事会、股东会对关联交易事项作出决议时，至少需审核下列文件：</w:t>
      </w:r>
    </w:p>
    <w:p w14:paraId="19A4E593">
      <w:pPr>
        <w:spacing w:line="360" w:lineRule="auto"/>
        <w:ind w:firstLine="420" w:firstLineChars="200"/>
        <w:rPr>
          <w:rFonts w:hint="eastAsia"/>
          <w:szCs w:val="21"/>
        </w:rPr>
      </w:pPr>
      <w:r>
        <w:rPr>
          <w:rFonts w:hint="eastAsia"/>
          <w:szCs w:val="21"/>
        </w:rPr>
        <w:t>（一）</w:t>
      </w:r>
      <w:bookmarkStart w:id="0" w:name="OLE_LINK3"/>
      <w:r>
        <w:rPr>
          <w:rFonts w:hint="eastAsia"/>
          <w:szCs w:val="21"/>
        </w:rPr>
        <w:t>关联交易发生的背景说明</w:t>
      </w:r>
      <w:bookmarkEnd w:id="0"/>
      <w:r>
        <w:rPr>
          <w:rFonts w:hint="eastAsia"/>
          <w:szCs w:val="21"/>
        </w:rPr>
        <w:t>；</w:t>
      </w:r>
    </w:p>
    <w:p w14:paraId="6E33920E">
      <w:pPr>
        <w:spacing w:line="360" w:lineRule="auto"/>
        <w:ind w:firstLine="420" w:firstLineChars="200"/>
        <w:rPr>
          <w:rFonts w:hint="eastAsia"/>
          <w:szCs w:val="21"/>
        </w:rPr>
      </w:pPr>
      <w:r>
        <w:rPr>
          <w:rFonts w:hint="eastAsia"/>
          <w:szCs w:val="21"/>
        </w:rPr>
        <w:t>（二）关联方的主体资格证明（法人营业执照或自然人身份证明）；</w:t>
      </w:r>
    </w:p>
    <w:p w14:paraId="01489FA6">
      <w:pPr>
        <w:spacing w:line="360" w:lineRule="auto"/>
        <w:ind w:firstLine="420" w:firstLineChars="200"/>
        <w:rPr>
          <w:rFonts w:hint="eastAsia"/>
          <w:szCs w:val="21"/>
        </w:rPr>
      </w:pPr>
      <w:r>
        <w:rPr>
          <w:rFonts w:hint="eastAsia"/>
          <w:szCs w:val="21"/>
        </w:rPr>
        <w:t>（三）与关联交易有关的协议、合同或任何其他书面安排；</w:t>
      </w:r>
    </w:p>
    <w:p w14:paraId="22C3331C">
      <w:pPr>
        <w:spacing w:line="360" w:lineRule="auto"/>
        <w:ind w:firstLine="420" w:firstLineChars="200"/>
        <w:rPr>
          <w:rFonts w:hint="eastAsia"/>
          <w:szCs w:val="21"/>
        </w:rPr>
      </w:pPr>
      <w:r>
        <w:rPr>
          <w:rFonts w:hint="eastAsia"/>
          <w:szCs w:val="21"/>
        </w:rPr>
        <w:t>（四）关联交易定价的依据性文件、材料；</w:t>
      </w:r>
    </w:p>
    <w:p w14:paraId="7D942F23">
      <w:pPr>
        <w:spacing w:line="360" w:lineRule="auto"/>
        <w:ind w:firstLine="420" w:firstLineChars="200"/>
        <w:rPr>
          <w:rFonts w:hint="eastAsia"/>
          <w:szCs w:val="21"/>
        </w:rPr>
      </w:pPr>
      <w:r>
        <w:rPr>
          <w:rFonts w:hint="eastAsia"/>
          <w:szCs w:val="21"/>
        </w:rPr>
        <w:t>（五）关联交易对公司和非关联股东合法权益的影响说明；</w:t>
      </w:r>
    </w:p>
    <w:p w14:paraId="658C9D52">
      <w:pPr>
        <w:spacing w:line="360" w:lineRule="auto"/>
        <w:ind w:firstLine="420" w:firstLineChars="200"/>
        <w:rPr>
          <w:szCs w:val="21"/>
        </w:rPr>
      </w:pPr>
      <w:r>
        <w:rPr>
          <w:rFonts w:hint="eastAsia"/>
          <w:szCs w:val="21"/>
        </w:rPr>
        <w:t>（六）中介机构报告（如有）；</w:t>
      </w:r>
    </w:p>
    <w:p w14:paraId="232A7A37">
      <w:pPr>
        <w:spacing w:line="360" w:lineRule="auto"/>
        <w:ind w:firstLine="420" w:firstLineChars="200"/>
        <w:rPr>
          <w:rFonts w:hint="eastAsia"/>
          <w:szCs w:val="21"/>
        </w:rPr>
      </w:pPr>
      <w:r>
        <w:rPr>
          <w:rFonts w:hint="eastAsia"/>
          <w:szCs w:val="21"/>
        </w:rPr>
        <w:t>（七）经公司全体独立董事过半数同意的决议；</w:t>
      </w:r>
    </w:p>
    <w:p w14:paraId="332C2C85">
      <w:pPr>
        <w:spacing w:line="360" w:lineRule="auto"/>
        <w:ind w:firstLine="420" w:firstLineChars="200"/>
        <w:rPr>
          <w:rFonts w:hint="eastAsia"/>
          <w:szCs w:val="21"/>
        </w:rPr>
      </w:pPr>
      <w:r>
        <w:rPr>
          <w:rFonts w:hint="eastAsia"/>
          <w:szCs w:val="21"/>
        </w:rPr>
        <w:t>（八）董事会要求的其他材料。</w:t>
      </w:r>
    </w:p>
    <w:p w14:paraId="210A54C1">
      <w:pPr>
        <w:spacing w:line="360" w:lineRule="auto"/>
        <w:ind w:firstLine="413" w:firstLineChars="196"/>
        <w:rPr>
          <w:rFonts w:hint="eastAsia"/>
          <w:szCs w:val="21"/>
        </w:rPr>
      </w:pPr>
      <w:r>
        <w:rPr>
          <w:rFonts w:hint="eastAsia"/>
          <w:b/>
          <w:szCs w:val="21"/>
        </w:rPr>
        <w:t>第二十三条</w:t>
      </w:r>
      <w:r>
        <w:rPr>
          <w:rFonts w:hint="eastAsia"/>
          <w:szCs w:val="21"/>
        </w:rPr>
        <w:t xml:space="preserve"> 股东会、董事会、总经理会议依据《公司章程》和议事规则的规定，在各自权限范围内对公司的关联交易进行审议和表决，并遵守有关回避制度的规定。</w:t>
      </w:r>
    </w:p>
    <w:p w14:paraId="4E71FE58">
      <w:pPr>
        <w:spacing w:line="360" w:lineRule="auto"/>
        <w:ind w:firstLine="413" w:firstLineChars="196"/>
        <w:rPr>
          <w:rFonts w:hint="eastAsia"/>
          <w:szCs w:val="21"/>
        </w:rPr>
      </w:pPr>
      <w:r>
        <w:rPr>
          <w:rFonts w:hint="eastAsia"/>
          <w:b/>
          <w:szCs w:val="21"/>
        </w:rPr>
        <w:t xml:space="preserve">第二十四条 </w:t>
      </w:r>
      <w:r>
        <w:rPr>
          <w:rFonts w:hint="eastAsia"/>
          <w:szCs w:val="21"/>
        </w:rPr>
        <w:t>需董事会或股东会批准的关联交易原则上应获得董事会或股东会的事前批准。如因特殊原因，关联交易未能获得董事会或股东会事前批准即已开始执行，公司应在获知有关事实之日起六十日内履行批准程序，对该等关联交易予以确认。</w:t>
      </w:r>
    </w:p>
    <w:p w14:paraId="7D7B168C">
      <w:pPr>
        <w:spacing w:line="360" w:lineRule="auto"/>
        <w:ind w:firstLine="413" w:firstLineChars="196"/>
        <w:rPr>
          <w:rFonts w:hint="eastAsia"/>
          <w:szCs w:val="21"/>
        </w:rPr>
      </w:pPr>
      <w:r>
        <w:rPr>
          <w:rFonts w:hint="eastAsia"/>
          <w:b/>
          <w:szCs w:val="21"/>
        </w:rPr>
        <w:t xml:space="preserve">第二十五条 </w:t>
      </w:r>
      <w:r>
        <w:rPr>
          <w:rFonts w:hint="eastAsia"/>
          <w:szCs w:val="21"/>
        </w:rPr>
        <w:t>关联交易未按《公司章程》和本规则规定的程序获得批准或确认的，不得执行；已经执行但未获批准或确认的关联交易，公司有权终止。</w:t>
      </w:r>
    </w:p>
    <w:p w14:paraId="7C407053">
      <w:pPr>
        <w:spacing w:line="360" w:lineRule="auto"/>
        <w:ind w:firstLine="413" w:firstLineChars="196"/>
        <w:rPr>
          <w:rFonts w:hint="eastAsia"/>
          <w:bCs/>
          <w:szCs w:val="21"/>
        </w:rPr>
      </w:pPr>
      <w:r>
        <w:rPr>
          <w:rFonts w:hint="eastAsia"/>
          <w:b/>
          <w:szCs w:val="21"/>
        </w:rPr>
        <w:t>第二十六条</w:t>
      </w:r>
      <w:r>
        <w:rPr>
          <w:rFonts w:hint="eastAsia"/>
          <w:bCs/>
          <w:szCs w:val="21"/>
        </w:rPr>
        <w:t xml:space="preserve"> 公司不得为董事、高级管理人员、控股股东、实际控制人及其控股子公司等关联人提供资金等财务资助。公司应当审慎向关联方提供财务资助或者委托理财。</w:t>
      </w:r>
    </w:p>
    <w:p w14:paraId="68DF514B">
      <w:pPr>
        <w:spacing w:line="360" w:lineRule="auto"/>
        <w:ind w:firstLine="413" w:firstLineChars="196"/>
        <w:rPr>
          <w:rFonts w:hint="eastAsia"/>
          <w:szCs w:val="21"/>
        </w:rPr>
      </w:pPr>
      <w:r>
        <w:rPr>
          <w:rFonts w:hint="eastAsia"/>
          <w:b/>
          <w:szCs w:val="21"/>
        </w:rPr>
        <w:t>第二十七条</w:t>
      </w:r>
      <w:r>
        <w:rPr>
          <w:rFonts w:hint="eastAsia"/>
          <w:szCs w:val="21"/>
        </w:rPr>
        <w:t xml:space="preserve"> 公司为关联人提供担保的，不论数额大小，均应当在董事会审议通过后及时披露，并提交股东会审议。</w:t>
      </w:r>
    </w:p>
    <w:p w14:paraId="4E5F710A">
      <w:pPr>
        <w:spacing w:line="360" w:lineRule="auto"/>
        <w:ind w:firstLine="420" w:firstLineChars="200"/>
        <w:rPr>
          <w:rFonts w:hint="eastAsia"/>
          <w:szCs w:val="21"/>
        </w:rPr>
      </w:pPr>
      <w:r>
        <w:rPr>
          <w:rFonts w:hint="eastAsia"/>
          <w:szCs w:val="21"/>
        </w:rPr>
        <w:t>公司为控股股东、实际控制人及其关联方提供担保的，控股股东、实际控制人及其关联方应当提供反担保。</w:t>
      </w:r>
    </w:p>
    <w:p w14:paraId="7302DCB7">
      <w:pPr>
        <w:spacing w:line="360" w:lineRule="auto"/>
        <w:ind w:firstLine="413" w:firstLineChars="196"/>
        <w:rPr>
          <w:rFonts w:hint="eastAsia"/>
          <w:szCs w:val="21"/>
        </w:rPr>
      </w:pPr>
      <w:r>
        <w:rPr>
          <w:rFonts w:hint="eastAsia"/>
          <w:b/>
          <w:szCs w:val="21"/>
        </w:rPr>
        <w:t>第二十八条</w:t>
      </w:r>
      <w:r>
        <w:rPr>
          <w:rFonts w:hint="eastAsia"/>
          <w:szCs w:val="21"/>
        </w:rPr>
        <w:t xml:space="preserve"> 关联交易涉及“提供财务资助”、“提供担保”和“委托理财”等事项时，应当以发生额作为披露的计算标准，并按交易类别在连续十二个月内累计计算。经累计计算的发生额达到本规则第十七条、第十八条、第十九条规定标准的，分别适用以上各条的规定。已经按照上述规定履行相关义务的，不再纳入相关的累计计算范围。</w:t>
      </w:r>
    </w:p>
    <w:p w14:paraId="0A3845F7">
      <w:pPr>
        <w:spacing w:line="360" w:lineRule="auto"/>
        <w:ind w:firstLine="413" w:firstLineChars="196"/>
        <w:rPr>
          <w:rFonts w:hint="eastAsia"/>
          <w:szCs w:val="21"/>
        </w:rPr>
      </w:pPr>
      <w:r>
        <w:rPr>
          <w:rFonts w:hint="eastAsia"/>
          <w:b/>
          <w:szCs w:val="21"/>
        </w:rPr>
        <w:t>第二十九条</w:t>
      </w:r>
      <w:r>
        <w:rPr>
          <w:rFonts w:hint="eastAsia"/>
          <w:szCs w:val="21"/>
        </w:rPr>
        <w:t xml:space="preserve"> 公司在连续十二个月内发生的下列关联交易，应当按照累计计算的原则适用本规则第十七条、第十八条、第十九条规定：</w:t>
      </w:r>
    </w:p>
    <w:p w14:paraId="1F79B200">
      <w:pPr>
        <w:spacing w:line="360" w:lineRule="auto"/>
        <w:ind w:firstLine="411" w:firstLineChars="196"/>
        <w:rPr>
          <w:rFonts w:hint="eastAsia"/>
          <w:szCs w:val="21"/>
        </w:rPr>
      </w:pPr>
      <w:r>
        <w:rPr>
          <w:rFonts w:hint="eastAsia"/>
          <w:szCs w:val="21"/>
        </w:rPr>
        <w:t>（一）与同一关联人进行的交易；</w:t>
      </w:r>
    </w:p>
    <w:p w14:paraId="66B5E9C3">
      <w:pPr>
        <w:spacing w:line="360" w:lineRule="auto"/>
        <w:ind w:firstLine="411" w:firstLineChars="196"/>
        <w:rPr>
          <w:rFonts w:hint="eastAsia"/>
          <w:szCs w:val="21"/>
        </w:rPr>
      </w:pPr>
      <w:r>
        <w:rPr>
          <w:rFonts w:hint="eastAsia"/>
          <w:szCs w:val="21"/>
        </w:rPr>
        <w:t>（二）与不同关联人进行的与同一交易标的相关的交易。</w:t>
      </w:r>
    </w:p>
    <w:p w14:paraId="5487C7CE">
      <w:pPr>
        <w:spacing w:line="360" w:lineRule="auto"/>
        <w:ind w:firstLine="411" w:firstLineChars="196"/>
        <w:rPr>
          <w:rFonts w:hint="eastAsia"/>
          <w:szCs w:val="21"/>
        </w:rPr>
      </w:pPr>
      <w:r>
        <w:rPr>
          <w:rFonts w:hint="eastAsia"/>
          <w:szCs w:val="21"/>
        </w:rPr>
        <w:t>上述同一关联人包括与该关联人受同一主体控制或者相互存在股权控制关系的其他关联人。</w:t>
      </w:r>
    </w:p>
    <w:p w14:paraId="268805C7">
      <w:pPr>
        <w:spacing w:line="360" w:lineRule="auto"/>
        <w:ind w:firstLine="411" w:firstLineChars="196"/>
        <w:rPr>
          <w:rFonts w:hint="eastAsia"/>
          <w:szCs w:val="21"/>
        </w:rPr>
      </w:pPr>
      <w:r>
        <w:rPr>
          <w:rFonts w:hint="eastAsia"/>
          <w:szCs w:val="21"/>
        </w:rPr>
        <w:t>已经按照本规则第十七条、第十八条、第十九条规定履行相关义务的，不再纳入相关的累计计算范围。</w:t>
      </w:r>
    </w:p>
    <w:p w14:paraId="0B197135">
      <w:pPr>
        <w:spacing w:line="360" w:lineRule="auto"/>
        <w:ind w:firstLine="413" w:firstLineChars="196"/>
        <w:rPr>
          <w:rFonts w:hint="eastAsia"/>
          <w:bCs/>
          <w:szCs w:val="21"/>
        </w:rPr>
      </w:pPr>
      <w:r>
        <w:rPr>
          <w:rFonts w:hint="eastAsia"/>
          <w:b/>
          <w:szCs w:val="21"/>
        </w:rPr>
        <w:t xml:space="preserve">第三十条 </w:t>
      </w:r>
      <w:r>
        <w:rPr>
          <w:rFonts w:hint="eastAsia"/>
          <w:bCs/>
          <w:szCs w:val="21"/>
        </w:rPr>
        <w:t>公司与关联人进行日常关联交易时，按照下列规定披露和履行审议程序：</w:t>
      </w:r>
    </w:p>
    <w:p w14:paraId="167D8FFB">
      <w:pPr>
        <w:numPr>
          <w:ilvl w:val="0"/>
          <w:numId w:val="2"/>
        </w:numPr>
        <w:spacing w:line="360" w:lineRule="auto"/>
        <w:ind w:firstLine="411" w:firstLineChars="196"/>
        <w:rPr>
          <w:rFonts w:hint="eastAsia"/>
          <w:bCs/>
          <w:szCs w:val="21"/>
        </w:rPr>
      </w:pPr>
      <w:r>
        <w:rPr>
          <w:rFonts w:hint="eastAsia"/>
          <w:bCs/>
          <w:szCs w:val="21"/>
        </w:rPr>
        <w:t>公司可以按类别合理预计日常关联交易年度金额，履行审议程序并披露；</w:t>
      </w:r>
    </w:p>
    <w:p w14:paraId="62E0ED26">
      <w:pPr>
        <w:spacing w:line="360" w:lineRule="auto"/>
        <w:rPr>
          <w:rFonts w:hint="eastAsia"/>
          <w:bCs/>
          <w:szCs w:val="21"/>
        </w:rPr>
      </w:pPr>
      <w:r>
        <w:rPr>
          <w:rFonts w:hint="eastAsia"/>
          <w:bCs/>
          <w:szCs w:val="21"/>
        </w:rPr>
        <w:t xml:space="preserve">     对于预计总金额范围内的关联交易，如果在执行过程中其定价依据、成交价格和付款方式等主要交易条件未发生重大变化的，公司可以免予执行本规则第十七条、第十八条、第十九条的规定，但应当在定期报告中对该等关联交易的执行情况作出说明，并与已披露的预计情况进行对比，说明是否存在差异及差异所在和造成差异的原因。</w:t>
      </w:r>
    </w:p>
    <w:p w14:paraId="1B6A0AEB">
      <w:pPr>
        <w:spacing w:line="360" w:lineRule="auto"/>
        <w:ind w:firstLine="420" w:firstLineChars="200"/>
        <w:rPr>
          <w:rFonts w:hint="eastAsia"/>
          <w:bCs/>
          <w:szCs w:val="21"/>
        </w:rPr>
      </w:pPr>
      <w:r>
        <w:rPr>
          <w:rFonts w:hint="eastAsia"/>
          <w:bCs/>
          <w:szCs w:val="21"/>
        </w:rPr>
        <w:t>实际执行超出预计金额，</w:t>
      </w:r>
      <w:r>
        <w:rPr>
          <w:rFonts w:hint="eastAsia"/>
          <w:szCs w:val="21"/>
        </w:rPr>
        <w:t>或者虽未超出预计总金额但主要交易条件发生重大变化的，公司应当说明超出预计总金额或者发生重大变化的原因，重新预计当年全年累计发生的同类关联交易总金额，并按照本规则的相关规定履行披露义务和审议程序</w:t>
      </w:r>
      <w:r>
        <w:rPr>
          <w:rFonts w:hint="eastAsia"/>
          <w:bCs/>
          <w:szCs w:val="21"/>
        </w:rPr>
        <w:t>；</w:t>
      </w:r>
    </w:p>
    <w:p w14:paraId="2DD32839">
      <w:pPr>
        <w:spacing w:line="360" w:lineRule="auto"/>
        <w:ind w:firstLine="411" w:firstLineChars="196"/>
        <w:rPr>
          <w:rFonts w:hint="eastAsia"/>
          <w:bCs/>
          <w:szCs w:val="21"/>
        </w:rPr>
      </w:pPr>
      <w:r>
        <w:rPr>
          <w:rFonts w:hint="eastAsia"/>
          <w:bCs/>
          <w:szCs w:val="21"/>
        </w:rPr>
        <w:t>（二）公司年度报告和半年度报告应当分类汇总披露日常关联交易；</w:t>
      </w:r>
    </w:p>
    <w:p w14:paraId="3E4D7CF7">
      <w:pPr>
        <w:spacing w:line="360" w:lineRule="auto"/>
        <w:ind w:firstLine="411" w:firstLineChars="196"/>
        <w:rPr>
          <w:rFonts w:hint="eastAsia"/>
          <w:bCs/>
          <w:szCs w:val="21"/>
        </w:rPr>
      </w:pPr>
      <w:r>
        <w:rPr>
          <w:rFonts w:hint="eastAsia"/>
          <w:bCs/>
          <w:szCs w:val="21"/>
        </w:rPr>
        <w:t>（三）公司与关联人签订的日常关联交易协议期限超过三年的，应当每三年重新履行相关审议程序和披露义务。</w:t>
      </w:r>
    </w:p>
    <w:p w14:paraId="16791938">
      <w:pPr>
        <w:spacing w:line="360" w:lineRule="auto"/>
        <w:ind w:firstLine="422" w:firstLineChars="200"/>
        <w:rPr>
          <w:rFonts w:hint="eastAsia"/>
          <w:bCs/>
          <w:szCs w:val="21"/>
        </w:rPr>
      </w:pPr>
      <w:r>
        <w:rPr>
          <w:rFonts w:hint="eastAsia"/>
          <w:b/>
          <w:szCs w:val="21"/>
        </w:rPr>
        <w:t>第三十一条</w:t>
      </w:r>
      <w:r>
        <w:rPr>
          <w:rFonts w:hint="eastAsia"/>
          <w:bCs/>
          <w:szCs w:val="21"/>
        </w:rPr>
        <w:t xml:space="preserve"> 公司与关联人发生的下列交易，可以豁免按照第十九条的规定提交股东会审议：</w:t>
      </w:r>
    </w:p>
    <w:p w14:paraId="0E680C87">
      <w:pPr>
        <w:spacing w:line="360" w:lineRule="auto"/>
        <w:ind w:firstLine="420" w:firstLineChars="200"/>
        <w:rPr>
          <w:rFonts w:hint="eastAsia"/>
          <w:bCs/>
          <w:szCs w:val="21"/>
        </w:rPr>
      </w:pPr>
      <w:r>
        <w:rPr>
          <w:rFonts w:hint="eastAsia"/>
          <w:bCs/>
          <w:szCs w:val="21"/>
        </w:rPr>
        <w:t>（一）面向不特定对象的公开招标、公开拍卖的（不含邀标等受限方式），但招标、拍卖等难以形成公允价格的除外；</w:t>
      </w:r>
    </w:p>
    <w:p w14:paraId="09CBDA6F">
      <w:pPr>
        <w:spacing w:line="360" w:lineRule="auto"/>
        <w:ind w:firstLine="420" w:firstLineChars="200"/>
        <w:rPr>
          <w:rFonts w:hint="eastAsia"/>
          <w:bCs/>
          <w:szCs w:val="21"/>
        </w:rPr>
      </w:pPr>
      <w:r>
        <w:rPr>
          <w:rFonts w:hint="eastAsia"/>
          <w:bCs/>
          <w:szCs w:val="21"/>
        </w:rPr>
        <w:t>（二）公司单方面获得利益的交易，包括受赠现金资产、获得债务减免、接受担保和资助等；</w:t>
      </w:r>
    </w:p>
    <w:p w14:paraId="053142FD">
      <w:pPr>
        <w:spacing w:line="360" w:lineRule="auto"/>
        <w:ind w:firstLine="420" w:firstLineChars="200"/>
        <w:rPr>
          <w:rFonts w:hint="eastAsia"/>
          <w:bCs/>
          <w:szCs w:val="21"/>
        </w:rPr>
      </w:pPr>
      <w:r>
        <w:rPr>
          <w:rFonts w:hint="eastAsia"/>
          <w:bCs/>
          <w:szCs w:val="21"/>
        </w:rPr>
        <w:t>（三）关联交易定价为国家规定的；</w:t>
      </w:r>
    </w:p>
    <w:p w14:paraId="1C9CD2C7">
      <w:pPr>
        <w:spacing w:line="360" w:lineRule="auto"/>
        <w:ind w:firstLine="420" w:firstLineChars="200"/>
        <w:rPr>
          <w:rFonts w:hint="eastAsia"/>
          <w:bCs/>
          <w:szCs w:val="21"/>
        </w:rPr>
      </w:pPr>
      <w:r>
        <w:rPr>
          <w:rFonts w:hint="eastAsia"/>
          <w:bCs/>
          <w:szCs w:val="21"/>
        </w:rPr>
        <w:t>（四）关联人向公司提供资金，利率不高于中国人民银行规定的贷款市场报价利率，且公司无相应担保；</w:t>
      </w:r>
    </w:p>
    <w:p w14:paraId="3E656257">
      <w:pPr>
        <w:spacing w:line="360" w:lineRule="auto"/>
        <w:ind w:firstLine="420" w:firstLineChars="200"/>
        <w:rPr>
          <w:rFonts w:hint="eastAsia"/>
          <w:bCs/>
          <w:szCs w:val="21"/>
        </w:rPr>
      </w:pPr>
      <w:r>
        <w:rPr>
          <w:rFonts w:hint="eastAsia"/>
          <w:bCs/>
          <w:szCs w:val="21"/>
        </w:rPr>
        <w:t>（五）公司按与非关联人同等交易条件，向董事、高级管理人员提供产品和服务的。</w:t>
      </w:r>
    </w:p>
    <w:p w14:paraId="62C25DD4">
      <w:pPr>
        <w:spacing w:line="360" w:lineRule="auto"/>
        <w:ind w:firstLine="422" w:firstLineChars="200"/>
        <w:rPr>
          <w:rFonts w:hint="eastAsia"/>
          <w:szCs w:val="21"/>
        </w:rPr>
      </w:pPr>
      <w:r>
        <w:rPr>
          <w:rFonts w:hint="eastAsia"/>
          <w:b/>
          <w:szCs w:val="21"/>
        </w:rPr>
        <w:t>第三十二条</w:t>
      </w:r>
      <w:r>
        <w:rPr>
          <w:rFonts w:hint="eastAsia"/>
          <w:szCs w:val="21"/>
        </w:rPr>
        <w:t xml:space="preserve"> 公司与关联人达成下列关联交易时，可以免予按照关联交易的方式审议和披露：</w:t>
      </w:r>
    </w:p>
    <w:p w14:paraId="1F6F6F55">
      <w:pPr>
        <w:spacing w:line="360" w:lineRule="auto"/>
        <w:ind w:firstLine="420" w:firstLineChars="200"/>
        <w:rPr>
          <w:rFonts w:hint="eastAsia"/>
          <w:szCs w:val="21"/>
        </w:rPr>
      </w:pPr>
      <w:r>
        <w:rPr>
          <w:rFonts w:hint="eastAsia"/>
          <w:szCs w:val="21"/>
        </w:rPr>
        <w:t>（一）一方以现金方式认购另一方向不特定对象发行的股票、公司债券或者企业债券、可转换公司债券或者其他衍生品种；</w:t>
      </w:r>
    </w:p>
    <w:p w14:paraId="156D109B">
      <w:pPr>
        <w:spacing w:line="360" w:lineRule="auto"/>
        <w:ind w:firstLine="420" w:firstLineChars="200"/>
        <w:rPr>
          <w:rFonts w:hint="eastAsia"/>
          <w:szCs w:val="21"/>
        </w:rPr>
      </w:pPr>
      <w:r>
        <w:rPr>
          <w:rFonts w:hint="eastAsia"/>
          <w:szCs w:val="21"/>
        </w:rPr>
        <w:t>（二）一方作为承销团成员承销另一方公开发行的股票、公司债券或者企业债券、可转换公司债券或者其他衍生品种；</w:t>
      </w:r>
    </w:p>
    <w:p w14:paraId="3633D4FF">
      <w:pPr>
        <w:spacing w:line="360" w:lineRule="auto"/>
        <w:ind w:firstLine="420" w:firstLineChars="200"/>
        <w:rPr>
          <w:rFonts w:hint="eastAsia"/>
          <w:szCs w:val="21"/>
        </w:rPr>
      </w:pPr>
      <w:r>
        <w:rPr>
          <w:rFonts w:hint="eastAsia"/>
          <w:szCs w:val="21"/>
        </w:rPr>
        <w:t>（三）一方依据另一方股东会决议领取股息、红利或者薪酬；</w:t>
      </w:r>
    </w:p>
    <w:p w14:paraId="2B75782D">
      <w:pPr>
        <w:spacing w:line="360" w:lineRule="auto"/>
        <w:ind w:firstLine="420" w:firstLineChars="200"/>
        <w:rPr>
          <w:rFonts w:hint="eastAsia"/>
          <w:szCs w:val="21"/>
        </w:rPr>
      </w:pPr>
      <w:r>
        <w:rPr>
          <w:rFonts w:hint="eastAsia"/>
          <w:szCs w:val="21"/>
        </w:rPr>
        <w:t>（四）深圳证券交易所认定的其他情况。</w:t>
      </w:r>
    </w:p>
    <w:p w14:paraId="67A1318D">
      <w:pPr>
        <w:spacing w:line="360" w:lineRule="auto"/>
        <w:ind w:firstLine="413" w:firstLineChars="196"/>
        <w:rPr>
          <w:rFonts w:hint="eastAsia"/>
          <w:szCs w:val="21"/>
        </w:rPr>
      </w:pPr>
      <w:r>
        <w:rPr>
          <w:rFonts w:hint="eastAsia"/>
          <w:b/>
          <w:szCs w:val="21"/>
        </w:rPr>
        <w:t>第三十三条</w:t>
      </w:r>
      <w:r>
        <w:rPr>
          <w:rFonts w:hint="eastAsia"/>
          <w:szCs w:val="21"/>
        </w:rPr>
        <w:t xml:space="preserve"> 由公司控制或持有50%以上股份的子公司发生的关联交易，视同公司行为，其披露标准适用本规则第十七条、第十八条、第十九条的规定；公司的参股公司发生的关联交易，以其交易标的乘以参股比例或协议分红比例后的数额，适用第十七条、第十八条、第十九条规定。</w:t>
      </w:r>
    </w:p>
    <w:p w14:paraId="4339C834">
      <w:pPr>
        <w:pStyle w:val="2"/>
        <w:bidi w:val="0"/>
        <w:rPr>
          <w:rFonts w:hint="eastAsia"/>
        </w:rPr>
      </w:pPr>
      <w:r>
        <w:rPr>
          <w:rFonts w:hint="eastAsia"/>
          <w:lang w:val="en-US" w:eastAsia="zh-CN"/>
        </w:rPr>
        <w:t xml:space="preserve"> </w:t>
      </w:r>
      <w:r>
        <w:rPr>
          <w:rFonts w:hint="eastAsia"/>
        </w:rPr>
        <w:t>关联交易的信息披露</w:t>
      </w:r>
    </w:p>
    <w:p w14:paraId="58FB2AFC">
      <w:pPr>
        <w:spacing w:line="360" w:lineRule="auto"/>
        <w:ind w:firstLine="413" w:firstLineChars="196"/>
        <w:rPr>
          <w:rFonts w:hint="eastAsia"/>
          <w:szCs w:val="21"/>
        </w:rPr>
      </w:pPr>
      <w:r>
        <w:rPr>
          <w:rFonts w:hint="eastAsia"/>
          <w:b/>
          <w:szCs w:val="21"/>
        </w:rPr>
        <w:t>第三十四条</w:t>
      </w:r>
      <w:r>
        <w:rPr>
          <w:rFonts w:hint="eastAsia"/>
          <w:szCs w:val="21"/>
        </w:rPr>
        <w:t xml:space="preserve"> 公司与关联自然人发生的成交金额</w:t>
      </w:r>
      <w:r>
        <w:rPr>
          <w:rFonts w:hint="eastAsia"/>
          <w:kern w:val="0"/>
          <w:szCs w:val="21"/>
        </w:rPr>
        <w:t>超过</w:t>
      </w:r>
      <w:r>
        <w:rPr>
          <w:rFonts w:hint="eastAsia"/>
          <w:szCs w:val="21"/>
        </w:rPr>
        <w:t>30万元的关联交易，应当及时披露。</w:t>
      </w:r>
    </w:p>
    <w:p w14:paraId="734D8E14">
      <w:pPr>
        <w:spacing w:line="360" w:lineRule="auto"/>
        <w:ind w:firstLine="413" w:firstLineChars="196"/>
        <w:rPr>
          <w:rFonts w:hint="eastAsia"/>
          <w:szCs w:val="21"/>
        </w:rPr>
      </w:pPr>
      <w:r>
        <w:rPr>
          <w:rFonts w:hint="eastAsia"/>
          <w:b/>
          <w:szCs w:val="21"/>
        </w:rPr>
        <w:t>第三十五条</w:t>
      </w:r>
      <w:r>
        <w:rPr>
          <w:rFonts w:hint="eastAsia"/>
          <w:szCs w:val="21"/>
        </w:rPr>
        <w:t xml:space="preserve"> 公司与关联法人发生的成交金额</w:t>
      </w:r>
      <w:r>
        <w:rPr>
          <w:rFonts w:hint="eastAsia"/>
          <w:kern w:val="0"/>
          <w:szCs w:val="21"/>
        </w:rPr>
        <w:t>超过</w:t>
      </w:r>
      <w:r>
        <w:rPr>
          <w:rFonts w:hint="eastAsia"/>
          <w:szCs w:val="21"/>
        </w:rPr>
        <w:t>300万元，且占公司最近一期经审计净资产绝对值0.5%以上的关联交易，应当及时披露。</w:t>
      </w:r>
    </w:p>
    <w:p w14:paraId="1F4A3DBD">
      <w:pPr>
        <w:spacing w:line="360" w:lineRule="auto"/>
        <w:ind w:firstLine="413" w:firstLineChars="196"/>
        <w:rPr>
          <w:rFonts w:hint="eastAsia"/>
          <w:szCs w:val="21"/>
        </w:rPr>
      </w:pPr>
      <w:r>
        <w:rPr>
          <w:rFonts w:hint="eastAsia"/>
          <w:b/>
          <w:szCs w:val="21"/>
        </w:rPr>
        <w:t>第三十六条</w:t>
      </w:r>
      <w:r>
        <w:rPr>
          <w:rFonts w:hint="eastAsia"/>
          <w:szCs w:val="21"/>
        </w:rPr>
        <w:t xml:space="preserve"> 公司披露关联交易事项时，应当向证券交易所提交以下文件：</w:t>
      </w:r>
    </w:p>
    <w:p w14:paraId="514D351B">
      <w:pPr>
        <w:spacing w:line="360" w:lineRule="auto"/>
        <w:ind w:firstLine="420" w:firstLineChars="200"/>
        <w:rPr>
          <w:rFonts w:hint="eastAsia"/>
          <w:szCs w:val="21"/>
        </w:rPr>
      </w:pPr>
      <w:r>
        <w:rPr>
          <w:rFonts w:hint="eastAsia"/>
          <w:szCs w:val="21"/>
        </w:rPr>
        <w:t>（一）公告文稿；</w:t>
      </w:r>
    </w:p>
    <w:p w14:paraId="2B8547A4">
      <w:pPr>
        <w:spacing w:line="360" w:lineRule="auto"/>
        <w:ind w:firstLine="420" w:firstLineChars="200"/>
        <w:rPr>
          <w:rFonts w:hint="eastAsia"/>
          <w:szCs w:val="21"/>
        </w:rPr>
      </w:pPr>
      <w:r>
        <w:rPr>
          <w:rFonts w:hint="eastAsia"/>
          <w:szCs w:val="21"/>
        </w:rPr>
        <w:t>（二）与交易有关的协议书或意向书；</w:t>
      </w:r>
    </w:p>
    <w:p w14:paraId="21B39552">
      <w:pPr>
        <w:spacing w:line="360" w:lineRule="auto"/>
        <w:ind w:firstLine="420" w:firstLineChars="200"/>
        <w:rPr>
          <w:rFonts w:hint="eastAsia"/>
          <w:szCs w:val="21"/>
        </w:rPr>
      </w:pPr>
      <w:r>
        <w:rPr>
          <w:rFonts w:hint="eastAsia"/>
          <w:szCs w:val="21"/>
        </w:rPr>
        <w:t>（三）董事会决议、 全体独立董事过半数同意的证明文件及董事会决议公告文稿（如适用）；</w:t>
      </w:r>
    </w:p>
    <w:p w14:paraId="1F42CCAC">
      <w:pPr>
        <w:spacing w:line="360" w:lineRule="auto"/>
        <w:ind w:firstLine="420" w:firstLineChars="200"/>
        <w:rPr>
          <w:rFonts w:hint="eastAsia"/>
          <w:szCs w:val="21"/>
        </w:rPr>
      </w:pPr>
      <w:r>
        <w:rPr>
          <w:rFonts w:hint="eastAsia"/>
          <w:szCs w:val="21"/>
        </w:rPr>
        <w:t>（四）交易涉及的政府批文（如适用）；</w:t>
      </w:r>
    </w:p>
    <w:p w14:paraId="0C11B41E">
      <w:pPr>
        <w:spacing w:line="360" w:lineRule="auto"/>
        <w:ind w:firstLine="420" w:firstLineChars="200"/>
        <w:rPr>
          <w:rFonts w:hint="eastAsia"/>
          <w:szCs w:val="21"/>
        </w:rPr>
      </w:pPr>
      <w:r>
        <w:rPr>
          <w:rFonts w:hint="eastAsia"/>
          <w:szCs w:val="21"/>
        </w:rPr>
        <w:t>（五）中介机构出具的专业报告（如适用）；</w:t>
      </w:r>
    </w:p>
    <w:p w14:paraId="74302E93">
      <w:pPr>
        <w:spacing w:line="360" w:lineRule="auto"/>
        <w:ind w:firstLine="420" w:firstLineChars="200"/>
        <w:rPr>
          <w:rFonts w:hint="eastAsia"/>
          <w:szCs w:val="21"/>
        </w:rPr>
      </w:pPr>
      <w:r>
        <w:rPr>
          <w:rFonts w:hint="eastAsia"/>
          <w:szCs w:val="21"/>
        </w:rPr>
        <w:t>（六）证券交易所要求的其他文件。</w:t>
      </w:r>
    </w:p>
    <w:p w14:paraId="6646CD59">
      <w:pPr>
        <w:spacing w:line="360" w:lineRule="auto"/>
        <w:ind w:firstLine="413" w:firstLineChars="196"/>
        <w:rPr>
          <w:rFonts w:hint="eastAsia"/>
          <w:szCs w:val="21"/>
        </w:rPr>
      </w:pPr>
      <w:r>
        <w:rPr>
          <w:rFonts w:hint="eastAsia"/>
          <w:b/>
          <w:szCs w:val="21"/>
        </w:rPr>
        <w:t>第三十七条</w:t>
      </w:r>
      <w:r>
        <w:rPr>
          <w:rFonts w:hint="eastAsia"/>
          <w:szCs w:val="21"/>
        </w:rPr>
        <w:t xml:space="preserve"> 公司披露的关联交易公告应当包括以下内容：</w:t>
      </w:r>
    </w:p>
    <w:p w14:paraId="04E54E27">
      <w:pPr>
        <w:spacing w:line="360" w:lineRule="auto"/>
        <w:ind w:firstLine="420" w:firstLineChars="200"/>
        <w:rPr>
          <w:rFonts w:hint="eastAsia"/>
          <w:szCs w:val="21"/>
        </w:rPr>
      </w:pPr>
      <w:r>
        <w:rPr>
          <w:rFonts w:hint="eastAsia"/>
          <w:szCs w:val="21"/>
        </w:rPr>
        <w:t>（一）交易概述及交易标的基本情况；</w:t>
      </w:r>
    </w:p>
    <w:p w14:paraId="00817C5B">
      <w:pPr>
        <w:spacing w:line="360" w:lineRule="auto"/>
        <w:ind w:firstLine="420" w:firstLineChars="200"/>
        <w:rPr>
          <w:rFonts w:hint="eastAsia"/>
          <w:szCs w:val="21"/>
        </w:rPr>
      </w:pPr>
      <w:r>
        <w:rPr>
          <w:rFonts w:hint="eastAsia"/>
          <w:szCs w:val="21"/>
        </w:rPr>
        <w:t>（二）独立董事</w:t>
      </w:r>
      <w:r>
        <w:rPr>
          <w:rFonts w:hint="eastAsia"/>
          <w:szCs w:val="21"/>
          <w:highlight w:val="none"/>
        </w:rPr>
        <w:t>过半数同意意见</w:t>
      </w:r>
      <w:r>
        <w:rPr>
          <w:rFonts w:hint="eastAsia"/>
          <w:szCs w:val="21"/>
        </w:rPr>
        <w:t>；</w:t>
      </w:r>
    </w:p>
    <w:p w14:paraId="67383ADD">
      <w:pPr>
        <w:spacing w:line="360" w:lineRule="auto"/>
        <w:ind w:firstLine="420" w:firstLineChars="200"/>
        <w:rPr>
          <w:rFonts w:hint="eastAsia"/>
          <w:szCs w:val="21"/>
        </w:rPr>
      </w:pPr>
      <w:r>
        <w:rPr>
          <w:rFonts w:hint="eastAsia"/>
          <w:szCs w:val="21"/>
        </w:rPr>
        <w:t>（三）董事会表决情况（如适用）；</w:t>
      </w:r>
    </w:p>
    <w:p w14:paraId="00D8F163">
      <w:pPr>
        <w:spacing w:line="360" w:lineRule="auto"/>
        <w:ind w:firstLine="420" w:firstLineChars="200"/>
        <w:rPr>
          <w:rFonts w:hint="eastAsia"/>
          <w:szCs w:val="21"/>
        </w:rPr>
      </w:pPr>
      <w:r>
        <w:rPr>
          <w:rFonts w:hint="eastAsia"/>
          <w:szCs w:val="21"/>
        </w:rPr>
        <w:t>（四）交易各方的关联关系说明和关联人基本情况；</w:t>
      </w:r>
    </w:p>
    <w:p w14:paraId="37648BF9">
      <w:pPr>
        <w:spacing w:line="360" w:lineRule="auto"/>
        <w:ind w:firstLine="420" w:firstLineChars="200"/>
        <w:rPr>
          <w:rFonts w:hint="eastAsia"/>
          <w:szCs w:val="21"/>
        </w:rPr>
      </w:pPr>
      <w:r>
        <w:rPr>
          <w:rFonts w:hint="eastAsia"/>
          <w:szCs w:val="21"/>
        </w:rPr>
        <w:t>（五）交易的定价政策及定价依据，包括成交价格与交易标的账面值、评估值以及明确、公允的市场价格之间的关系，及因交易标的特殊而需要说明的与定价有关的其他特定事项。若成交价格与账面值、评估值或市场价格差异较大的，应当说明原因。如交易有失公允的，还应当披露本次关联交易所产生的利益转移方向；</w:t>
      </w:r>
    </w:p>
    <w:p w14:paraId="42A31392">
      <w:pPr>
        <w:spacing w:line="360" w:lineRule="auto"/>
        <w:ind w:firstLine="420" w:firstLineChars="200"/>
        <w:rPr>
          <w:rFonts w:hint="eastAsia"/>
          <w:szCs w:val="21"/>
        </w:rPr>
      </w:pPr>
      <w:r>
        <w:rPr>
          <w:rFonts w:hint="eastAsia"/>
          <w:szCs w:val="21"/>
        </w:rPr>
        <w:t>（六）交易协议的主要内容，包括交易价格、交易结算方式、关联人在交易中所占权益的性质和比重，以及协议生效条件、生效时间、履行期限等。对于日常经营中持续或经常进行的关联交易，还应当包括该项关联交易的全年预计交易总金额；</w:t>
      </w:r>
    </w:p>
    <w:p w14:paraId="24BC5530">
      <w:pPr>
        <w:spacing w:line="360" w:lineRule="auto"/>
        <w:ind w:firstLine="420" w:firstLineChars="200"/>
        <w:rPr>
          <w:rFonts w:hint="eastAsia"/>
          <w:szCs w:val="21"/>
        </w:rPr>
      </w:pPr>
      <w:r>
        <w:rPr>
          <w:rFonts w:hint="eastAsia"/>
          <w:szCs w:val="21"/>
        </w:rPr>
        <w:t>（七）交易目的及对公司的影响，包括进行此次关联交易的必要性和真实意图，对本期和未来财务状况和经营成果的影响；</w:t>
      </w:r>
    </w:p>
    <w:p w14:paraId="2940BD6F">
      <w:pPr>
        <w:spacing w:line="360" w:lineRule="auto"/>
        <w:ind w:firstLine="420" w:firstLineChars="200"/>
        <w:rPr>
          <w:rFonts w:hint="eastAsia"/>
          <w:szCs w:val="21"/>
        </w:rPr>
      </w:pPr>
      <w:r>
        <w:rPr>
          <w:rFonts w:hint="eastAsia"/>
          <w:szCs w:val="21"/>
        </w:rPr>
        <w:t>（八）当年年初至披露日与该关联人累计已发生的各类关联交易的总金额；</w:t>
      </w:r>
    </w:p>
    <w:p w14:paraId="6628769B">
      <w:pPr>
        <w:spacing w:line="360" w:lineRule="auto"/>
        <w:ind w:firstLine="420" w:firstLineChars="200"/>
        <w:rPr>
          <w:rFonts w:hint="eastAsia"/>
          <w:szCs w:val="21"/>
        </w:rPr>
      </w:pPr>
      <w:r>
        <w:rPr>
          <w:rFonts w:hint="eastAsia"/>
          <w:szCs w:val="21"/>
        </w:rPr>
        <w:t>（九）《上市规则》规定的其他内容；</w:t>
      </w:r>
    </w:p>
    <w:p w14:paraId="14E54B50">
      <w:pPr>
        <w:spacing w:line="360" w:lineRule="auto"/>
        <w:ind w:firstLine="420" w:firstLineChars="200"/>
        <w:rPr>
          <w:rFonts w:hint="eastAsia"/>
          <w:szCs w:val="21"/>
        </w:rPr>
      </w:pPr>
      <w:r>
        <w:rPr>
          <w:rFonts w:hint="eastAsia"/>
          <w:szCs w:val="21"/>
        </w:rPr>
        <w:t>（十）中国证监会和证券交易所要求的有助于说明交易实质的其他内容。</w:t>
      </w:r>
    </w:p>
    <w:p w14:paraId="666670D4">
      <w:pPr>
        <w:pStyle w:val="2"/>
        <w:bidi w:val="0"/>
        <w:rPr>
          <w:rFonts w:hint="eastAsia"/>
        </w:rPr>
      </w:pPr>
      <w:r>
        <w:rPr>
          <w:rFonts w:hint="eastAsia"/>
          <w:lang w:val="en-US" w:eastAsia="zh-CN"/>
        </w:rPr>
        <w:t xml:space="preserve"> </w:t>
      </w:r>
      <w:r>
        <w:rPr>
          <w:rFonts w:hint="eastAsia"/>
        </w:rPr>
        <w:t>附则</w:t>
      </w:r>
    </w:p>
    <w:p w14:paraId="2D25FCE8">
      <w:pPr>
        <w:spacing w:line="360" w:lineRule="auto"/>
        <w:ind w:firstLine="413" w:firstLineChars="196"/>
        <w:rPr>
          <w:rFonts w:hint="eastAsia"/>
          <w:szCs w:val="21"/>
        </w:rPr>
      </w:pPr>
      <w:r>
        <w:rPr>
          <w:rFonts w:hint="eastAsia"/>
          <w:b/>
          <w:szCs w:val="21"/>
        </w:rPr>
        <w:t>第三十八条</w:t>
      </w:r>
      <w:r>
        <w:rPr>
          <w:rFonts w:hint="eastAsia"/>
          <w:szCs w:val="21"/>
        </w:rPr>
        <w:t xml:space="preserve"> 有关关联交易决策记录、决议事项等文件，由董事会秘书负责保管，保管期限为二十年。</w:t>
      </w:r>
    </w:p>
    <w:p w14:paraId="33B2CF46">
      <w:pPr>
        <w:spacing w:line="360" w:lineRule="auto"/>
        <w:ind w:firstLine="413" w:firstLineChars="196"/>
        <w:rPr>
          <w:rFonts w:hint="eastAsia"/>
          <w:szCs w:val="21"/>
        </w:rPr>
      </w:pPr>
      <w:r>
        <w:rPr>
          <w:rFonts w:hint="eastAsia"/>
          <w:b/>
          <w:szCs w:val="21"/>
        </w:rPr>
        <w:t>第三十九条</w:t>
      </w:r>
      <w:r>
        <w:rPr>
          <w:rFonts w:hint="eastAsia"/>
          <w:szCs w:val="21"/>
        </w:rPr>
        <w:t xml:space="preserve"> 本规则所称“以上”含本数；“超过”不含本数。本规则所称“及时”的涵义适用《上市规则》第13.1条的相关规定。</w:t>
      </w:r>
    </w:p>
    <w:p w14:paraId="0D9E37EC">
      <w:pPr>
        <w:spacing w:line="360" w:lineRule="auto"/>
        <w:ind w:firstLine="422" w:firstLineChars="200"/>
        <w:rPr>
          <w:rFonts w:hint="eastAsia"/>
          <w:szCs w:val="21"/>
        </w:rPr>
      </w:pPr>
      <w:r>
        <w:rPr>
          <w:rFonts w:hint="eastAsia"/>
          <w:b/>
          <w:szCs w:val="21"/>
        </w:rPr>
        <w:t>第四十条</w:t>
      </w:r>
      <w:r>
        <w:rPr>
          <w:rFonts w:hint="eastAsia"/>
          <w:szCs w:val="21"/>
        </w:rPr>
        <w:t xml:space="preserve"> 本规则未尽事宜，按有关法律、行政法规、中国证监会和深圳证券交易所的有关规定、《公司章程》执行。如遇国家法律、法规、规范性文件和《公司章程》修订，本规则内容与之抵触时，应按有关法律、行政法规、中国证监会和深圳证券交易所的有关规定和《公司章程》执行，并及时进行修订。</w:t>
      </w:r>
    </w:p>
    <w:p w14:paraId="1AFAAD54">
      <w:pPr>
        <w:spacing w:line="360" w:lineRule="auto"/>
        <w:ind w:firstLine="422" w:firstLineChars="200"/>
        <w:rPr>
          <w:rFonts w:hint="eastAsia"/>
          <w:szCs w:val="21"/>
        </w:rPr>
      </w:pPr>
      <w:r>
        <w:rPr>
          <w:rFonts w:hint="eastAsia"/>
          <w:b/>
          <w:szCs w:val="21"/>
        </w:rPr>
        <w:t>第四十一条</w:t>
      </w:r>
      <w:r>
        <w:rPr>
          <w:rFonts w:hint="eastAsia"/>
          <w:szCs w:val="21"/>
        </w:rPr>
        <w:t xml:space="preserve"> 本规则由公司董事会制定，并由董事会负责修订、解释。</w:t>
      </w:r>
    </w:p>
    <w:p w14:paraId="0275EC8C">
      <w:pPr>
        <w:spacing w:line="360" w:lineRule="auto"/>
        <w:ind w:firstLine="422" w:firstLineChars="200"/>
        <w:rPr>
          <w:rFonts w:hint="eastAsia"/>
          <w:szCs w:val="21"/>
        </w:rPr>
      </w:pPr>
      <w:r>
        <w:rPr>
          <w:rFonts w:hint="eastAsia"/>
          <w:b/>
          <w:szCs w:val="21"/>
        </w:rPr>
        <w:t>第四十二条</w:t>
      </w:r>
      <w:r>
        <w:rPr>
          <w:rFonts w:hint="eastAsia"/>
          <w:szCs w:val="21"/>
        </w:rPr>
        <w:t xml:space="preserve"> 本规则自公司股东会审议通过之日起生效施行，修改时亦同。</w:t>
      </w:r>
    </w:p>
    <w:sectPr>
      <w:headerReference r:id="rId3" w:type="default"/>
      <w:footerReference r:id="rId4" w:type="default"/>
      <w:footerReference r:id="rId5" w:type="even"/>
      <w:pgSz w:w="11906" w:h="16838"/>
      <w:pgMar w:top="1440" w:right="1854" w:bottom="1440" w:left="185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69D4F">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14:paraId="706632A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8FEA8">
    <w:pPr>
      <w:pStyle w:val="5"/>
      <w:framePr w:wrap="around" w:vAnchor="text" w:hAnchor="margin" w:xAlign="center" w:y="1"/>
      <w:rPr>
        <w:rStyle w:val="9"/>
      </w:rPr>
    </w:pPr>
    <w:r>
      <w:fldChar w:fldCharType="begin"/>
    </w:r>
    <w:r>
      <w:rPr>
        <w:rStyle w:val="9"/>
      </w:rPr>
      <w:instrText xml:space="preserve">PAGE  </w:instrText>
    </w:r>
    <w:r>
      <w:fldChar w:fldCharType="end"/>
    </w:r>
  </w:p>
  <w:p w14:paraId="5E68789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ADDFD">
    <w:pPr>
      <w:pStyle w:val="6"/>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0EDC5"/>
    <w:multiLevelType w:val="singleLevel"/>
    <w:tmpl w:val="4C20EDC5"/>
    <w:lvl w:ilvl="0" w:tentative="0">
      <w:start w:val="1"/>
      <w:numFmt w:val="chineseCounting"/>
      <w:pStyle w:val="2"/>
      <w:suff w:val="space"/>
      <w:lvlText w:val="第%1章"/>
      <w:lvlJc w:val="left"/>
      <w:pPr>
        <w:ind w:left="567" w:leftChars="0" w:hanging="567" w:firstLineChars="0"/>
      </w:pPr>
      <w:rPr>
        <w:rFonts w:hint="eastAsia"/>
        <w:sz w:val="24"/>
        <w:szCs w:val="24"/>
      </w:rPr>
    </w:lvl>
  </w:abstractNum>
  <w:abstractNum w:abstractNumId="1">
    <w:nsid w:val="5EF88382"/>
    <w:multiLevelType w:val="singleLevel"/>
    <w:tmpl w:val="5EF88382"/>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80"/>
    <w:rsid w:val="00050640"/>
    <w:rsid w:val="000731F6"/>
    <w:rsid w:val="000B6A26"/>
    <w:rsid w:val="000E1BE6"/>
    <w:rsid w:val="000F1B72"/>
    <w:rsid w:val="00131DE7"/>
    <w:rsid w:val="00132655"/>
    <w:rsid w:val="001736A1"/>
    <w:rsid w:val="00175805"/>
    <w:rsid w:val="00187E29"/>
    <w:rsid w:val="001A5F0E"/>
    <w:rsid w:val="001F4F4D"/>
    <w:rsid w:val="0020548F"/>
    <w:rsid w:val="002156C1"/>
    <w:rsid w:val="002163E3"/>
    <w:rsid w:val="002563B2"/>
    <w:rsid w:val="00276276"/>
    <w:rsid w:val="002B1488"/>
    <w:rsid w:val="002B1AD0"/>
    <w:rsid w:val="002C3B17"/>
    <w:rsid w:val="002E2B98"/>
    <w:rsid w:val="002F7EF9"/>
    <w:rsid w:val="00307FA1"/>
    <w:rsid w:val="003227EB"/>
    <w:rsid w:val="00354C55"/>
    <w:rsid w:val="003749B1"/>
    <w:rsid w:val="003825D0"/>
    <w:rsid w:val="003941C1"/>
    <w:rsid w:val="003A4A39"/>
    <w:rsid w:val="003B0312"/>
    <w:rsid w:val="003C4D46"/>
    <w:rsid w:val="003D7192"/>
    <w:rsid w:val="003F1C52"/>
    <w:rsid w:val="00471D24"/>
    <w:rsid w:val="00493CC8"/>
    <w:rsid w:val="004A1AD8"/>
    <w:rsid w:val="004B6EEF"/>
    <w:rsid w:val="004D60E5"/>
    <w:rsid w:val="00514974"/>
    <w:rsid w:val="0054729A"/>
    <w:rsid w:val="0059200F"/>
    <w:rsid w:val="00597255"/>
    <w:rsid w:val="005A20E2"/>
    <w:rsid w:val="005B006C"/>
    <w:rsid w:val="005D3AC7"/>
    <w:rsid w:val="005E0FCE"/>
    <w:rsid w:val="005E4EB2"/>
    <w:rsid w:val="005F12D9"/>
    <w:rsid w:val="005F26C8"/>
    <w:rsid w:val="0060289B"/>
    <w:rsid w:val="00642027"/>
    <w:rsid w:val="0065420A"/>
    <w:rsid w:val="00664A54"/>
    <w:rsid w:val="00681C99"/>
    <w:rsid w:val="00687034"/>
    <w:rsid w:val="00687B05"/>
    <w:rsid w:val="00694D6A"/>
    <w:rsid w:val="006C0D3A"/>
    <w:rsid w:val="006C354D"/>
    <w:rsid w:val="00722024"/>
    <w:rsid w:val="0074089C"/>
    <w:rsid w:val="007A2338"/>
    <w:rsid w:val="007A5736"/>
    <w:rsid w:val="007C0BCD"/>
    <w:rsid w:val="007C3439"/>
    <w:rsid w:val="007D27FF"/>
    <w:rsid w:val="00806C4F"/>
    <w:rsid w:val="008301BE"/>
    <w:rsid w:val="00845F5B"/>
    <w:rsid w:val="00900BF2"/>
    <w:rsid w:val="0092246E"/>
    <w:rsid w:val="00943E05"/>
    <w:rsid w:val="00965ABB"/>
    <w:rsid w:val="009974D5"/>
    <w:rsid w:val="009B03FE"/>
    <w:rsid w:val="009D44C1"/>
    <w:rsid w:val="009D6427"/>
    <w:rsid w:val="009F13CE"/>
    <w:rsid w:val="009F1C93"/>
    <w:rsid w:val="00A24BA6"/>
    <w:rsid w:val="00A25D04"/>
    <w:rsid w:val="00A354FB"/>
    <w:rsid w:val="00A53B4B"/>
    <w:rsid w:val="00AC64D5"/>
    <w:rsid w:val="00AF6A30"/>
    <w:rsid w:val="00B065F4"/>
    <w:rsid w:val="00B279B2"/>
    <w:rsid w:val="00B303C6"/>
    <w:rsid w:val="00B615A3"/>
    <w:rsid w:val="00B83008"/>
    <w:rsid w:val="00BE07E7"/>
    <w:rsid w:val="00C0174A"/>
    <w:rsid w:val="00C145C1"/>
    <w:rsid w:val="00C40664"/>
    <w:rsid w:val="00C417E2"/>
    <w:rsid w:val="00CD161B"/>
    <w:rsid w:val="00D14493"/>
    <w:rsid w:val="00D7359C"/>
    <w:rsid w:val="00D82B02"/>
    <w:rsid w:val="00D8463E"/>
    <w:rsid w:val="00DB16D5"/>
    <w:rsid w:val="00DF4E33"/>
    <w:rsid w:val="00E01A93"/>
    <w:rsid w:val="00E15110"/>
    <w:rsid w:val="00E43911"/>
    <w:rsid w:val="00E533E7"/>
    <w:rsid w:val="00E62573"/>
    <w:rsid w:val="00EB2B1D"/>
    <w:rsid w:val="00EB7959"/>
    <w:rsid w:val="00EC04B8"/>
    <w:rsid w:val="00F14665"/>
    <w:rsid w:val="00F15172"/>
    <w:rsid w:val="00F176EF"/>
    <w:rsid w:val="00F261F2"/>
    <w:rsid w:val="00F32173"/>
    <w:rsid w:val="00F42BB2"/>
    <w:rsid w:val="00F6378D"/>
    <w:rsid w:val="00F71B9F"/>
    <w:rsid w:val="00F73851"/>
    <w:rsid w:val="00F953D8"/>
    <w:rsid w:val="00FC10A0"/>
    <w:rsid w:val="01373E5C"/>
    <w:rsid w:val="04706FFA"/>
    <w:rsid w:val="0BD15810"/>
    <w:rsid w:val="14545F69"/>
    <w:rsid w:val="183D2FD1"/>
    <w:rsid w:val="189B1B44"/>
    <w:rsid w:val="1D522AB0"/>
    <w:rsid w:val="1F704749"/>
    <w:rsid w:val="272555CB"/>
    <w:rsid w:val="283B0F0D"/>
    <w:rsid w:val="2C997CD1"/>
    <w:rsid w:val="2D0616CF"/>
    <w:rsid w:val="2DC33823"/>
    <w:rsid w:val="37CF43F1"/>
    <w:rsid w:val="3BBD1A0F"/>
    <w:rsid w:val="3FD15A2B"/>
    <w:rsid w:val="422C0440"/>
    <w:rsid w:val="45197AD3"/>
    <w:rsid w:val="47257848"/>
    <w:rsid w:val="4FE13ED5"/>
    <w:rsid w:val="512A18AC"/>
    <w:rsid w:val="578072CC"/>
    <w:rsid w:val="58562419"/>
    <w:rsid w:val="67566EF9"/>
    <w:rsid w:val="69DD483F"/>
    <w:rsid w:val="70D44878"/>
    <w:rsid w:val="719252EC"/>
    <w:rsid w:val="76B37424"/>
    <w:rsid w:val="77207080"/>
    <w:rsid w:val="7E266D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numPr>
        <w:ilvl w:val="0"/>
        <w:numId w:val="1"/>
      </w:numPr>
      <w:spacing w:before="100" w:beforeLines="100" w:after="100" w:afterLines="100" w:line="360" w:lineRule="auto"/>
      <w:jc w:val="center"/>
      <w:outlineLvl w:val="0"/>
    </w:pPr>
    <w:rPr>
      <w:rFonts w:ascii="宋体" w:hAnsi="宋体" w:cs="宋体"/>
      <w:b/>
      <w:bCs/>
      <w:kern w:val="44"/>
      <w:sz w:val="24"/>
    </w:rPr>
  </w:style>
  <w:style w:type="paragraph" w:styleId="3">
    <w:name w:val="heading 2"/>
    <w:basedOn w:val="1"/>
    <w:next w:val="1"/>
    <w:link w:val="1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4"/>
    <w:unhideWhenUsed/>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9">
    <w:name w:val="page number"/>
    <w:qFormat/>
    <w:uiPriority w:val="0"/>
  </w:style>
  <w:style w:type="character" w:customStyle="1" w:styleId="10">
    <w:name w:val="标题 1 字符"/>
    <w:link w:val="2"/>
    <w:uiPriority w:val="0"/>
    <w:rPr>
      <w:rFonts w:ascii="Times New Roman" w:hAnsi="Times New Roman" w:eastAsia="宋体" w:cs="Times New Roman"/>
      <w:b/>
      <w:bCs/>
      <w:kern w:val="44"/>
      <w:sz w:val="44"/>
      <w:szCs w:val="44"/>
    </w:rPr>
  </w:style>
  <w:style w:type="character" w:customStyle="1" w:styleId="11">
    <w:name w:val="标题 2 字符"/>
    <w:link w:val="3"/>
    <w:uiPriority w:val="0"/>
    <w:rPr>
      <w:rFonts w:ascii="Arial" w:hAnsi="Arial" w:eastAsia="黑体" w:cs="Times New Roman"/>
      <w:b/>
      <w:bCs/>
      <w:sz w:val="32"/>
      <w:szCs w:val="32"/>
    </w:rPr>
  </w:style>
  <w:style w:type="character" w:customStyle="1" w:styleId="12">
    <w:name w:val="批注框文本 字符"/>
    <w:link w:val="4"/>
    <w:semiHidden/>
    <w:uiPriority w:val="99"/>
    <w:rPr>
      <w:rFonts w:ascii="Times New Roman" w:hAnsi="Times New Roman"/>
      <w:kern w:val="2"/>
      <w:sz w:val="18"/>
      <w:szCs w:val="18"/>
    </w:rPr>
  </w:style>
  <w:style w:type="character" w:customStyle="1" w:styleId="13">
    <w:name w:val="页脚 字符"/>
    <w:link w:val="5"/>
    <w:semiHidden/>
    <w:qFormat/>
    <w:uiPriority w:val="99"/>
    <w:rPr>
      <w:sz w:val="18"/>
      <w:szCs w:val="18"/>
    </w:rPr>
  </w:style>
  <w:style w:type="character" w:customStyle="1" w:styleId="14">
    <w:name w:val="页眉 字符"/>
    <w:link w:val="6"/>
    <w:semiHidden/>
    <w:uiPriority w:val="99"/>
    <w:rPr>
      <w:sz w:val="18"/>
      <w:szCs w:val="18"/>
    </w:rPr>
  </w:style>
  <w:style w:type="paragraph" w:customStyle="1" w:styleId="15">
    <w:name w:val="_Style 14"/>
    <w:hidden/>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标题 1 Char"/>
    <w:link w:val="2"/>
    <w:qFormat/>
    <w:uiPriority w:val="0"/>
    <w:rPr>
      <w:rFonts w:ascii="宋体" w:hAnsi="宋体" w:eastAsia="宋体" w:cs="宋体"/>
      <w:b/>
      <w:kern w:val="44"/>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7310</Words>
  <Characters>7343</Characters>
  <Lines>148</Lines>
  <Paragraphs>185</Paragraphs>
  <TotalTime>4</TotalTime>
  <ScaleCrop>false</ScaleCrop>
  <LinksUpToDate>false</LinksUpToDate>
  <CharactersWithSpaces>7411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2009-07-21T06:34:00Z</dcterms:created>
  <dc:creator>tanzhiping</dc:creator>
  <cp:lastModifiedBy>cdq</cp:lastModifiedBy>
  <dcterms:modified xsi:type="dcterms:W3CDTF">2025-10-28T01:07:23Z</dcterms:modified>
  <dc:title>福建广生堂药业股份有限公司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6DE6AA81331741A7B7B6DCA2350BB3B7_13</vt:lpwstr>
  </property>
  <property fmtid="{D5CDD505-2E9C-101B-9397-08002B2CF9AE}" pid="4" name="KSOTemplateDocerSaveRecord">
    <vt:lpwstr>eyJoZGlkIjoiY2Q4MDAzNjNiM2EwYjNjY2VkN2I2ZWY4OTg5YTA1ZWYiLCJ1c2VySWQiOiIxMzk5OTUwMzQxIn0=</vt:lpwstr>
  </property>
</Properties>
</file>