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93157">
      <w:pPr>
        <w:spacing w:line="360" w:lineRule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证券代码：300436        证券简称：广生堂        公告编号：2025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065</w:t>
      </w:r>
    </w:p>
    <w:p w14:paraId="3A66D5D6">
      <w:pPr>
        <w:spacing w:before="312" w:beforeLines="1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</w:rPr>
        <w:t>福建广生堂药业股份有限公司</w:t>
      </w:r>
    </w:p>
    <w:p w14:paraId="162636B4">
      <w:pPr>
        <w:tabs>
          <w:tab w:val="left" w:pos="4678"/>
        </w:tabs>
        <w:spacing w:after="156" w:afterLines="50"/>
        <w:jc w:val="center"/>
        <w:rPr>
          <w:rFonts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highlight w:val="none"/>
        </w:rPr>
        <w:t>关于2025年第</w:t>
      </w: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highlight w:val="none"/>
        </w:rPr>
        <w:t>次临</w:t>
      </w: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</w:rPr>
        <w:t>时股东大会决议的公告</w:t>
      </w:r>
    </w:p>
    <w:tbl>
      <w:tblPr>
        <w:tblStyle w:val="10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4AE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8522" w:type="dxa"/>
            <w:vAlign w:val="center"/>
          </w:tcPr>
          <w:p w14:paraId="530D6790">
            <w:pPr>
              <w:ind w:firstLine="560" w:firstLineChars="200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0884A74E">
      <w:pPr>
        <w:adjustRightInd w:val="0"/>
        <w:snapToGrid w:val="0"/>
        <w:spacing w:before="312" w:beforeLines="100" w:line="360" w:lineRule="auto"/>
        <w:ind w:firstLine="482" w:firstLineChars="200"/>
        <w:jc w:val="left"/>
        <w:rPr>
          <w:rFonts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</w:rPr>
        <w:t>特别提示：</w:t>
      </w:r>
    </w:p>
    <w:p w14:paraId="64131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1、本次股东大会未出现否决议案的情形；</w:t>
      </w:r>
    </w:p>
    <w:p w14:paraId="4CAFF644">
      <w:pPr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2、本次股东大会未涉及变更以往股东大会已通过的决议。</w:t>
      </w:r>
    </w:p>
    <w:p w14:paraId="158765B3">
      <w:pPr>
        <w:pStyle w:val="2"/>
        <w:keepNext w:val="0"/>
        <w:keepLines w:val="0"/>
        <w:spacing w:before="156" w:after="156"/>
        <w:rPr>
          <w:color w:val="auto"/>
        </w:rPr>
      </w:pPr>
      <w:r>
        <w:rPr>
          <w:rFonts w:hint="eastAsia"/>
          <w:color w:val="auto"/>
        </w:rPr>
        <w:t>一、会议召开和出席情况</w:t>
      </w:r>
    </w:p>
    <w:p w14:paraId="06553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（一）会议召开时间：</w:t>
      </w:r>
    </w:p>
    <w:p w14:paraId="0D958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1、现场会议召开时间：</w:t>
      </w:r>
      <w:r>
        <w:rPr>
          <w:rFonts w:hint="eastAsia" w:ascii="宋体" w:hAnsi="宋体" w:cs="宋体"/>
          <w:color w:val="auto"/>
          <w:sz w:val="24"/>
          <w:highlight w:val="none"/>
        </w:rPr>
        <w:t>2025年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17</w:t>
      </w:r>
      <w:r>
        <w:rPr>
          <w:rFonts w:hint="eastAsia" w:ascii="宋体" w:hAnsi="宋体" w:cs="宋体"/>
          <w:color w:val="auto"/>
          <w:sz w:val="24"/>
          <w:highlight w:val="none"/>
        </w:rPr>
        <w:t>日（星期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三</w:t>
      </w:r>
      <w:r>
        <w:rPr>
          <w:rFonts w:hint="eastAsia" w:ascii="宋体" w:hAnsi="宋体" w:cs="宋体"/>
          <w:color w:val="auto"/>
          <w:sz w:val="24"/>
          <w:highlight w:val="none"/>
        </w:rPr>
        <w:t>）14: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highlight w:val="none"/>
        </w:rPr>
        <w:t>0</w:t>
      </w:r>
    </w:p>
    <w:p w14:paraId="3CBBF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2、网络投票时间：</w:t>
      </w:r>
    </w:p>
    <w:p w14:paraId="11F09D29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（1）通过深圳证券交易所交易系统进行网络投票的具体时间为：</w:t>
      </w:r>
      <w:r>
        <w:rPr>
          <w:rFonts w:hint="eastAsia" w:ascii="宋体" w:hAnsi="宋体" w:cs="宋体"/>
          <w:color w:val="auto"/>
          <w:sz w:val="24"/>
          <w:highlight w:val="none"/>
        </w:rPr>
        <w:t>2025年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17</w:t>
      </w:r>
      <w:r>
        <w:rPr>
          <w:rFonts w:hint="eastAsia" w:ascii="宋体" w:hAnsi="宋体" w:cs="宋体"/>
          <w:color w:val="auto"/>
          <w:sz w:val="24"/>
          <w:highlight w:val="none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9:15—9:25，9:30—11:30和13:00—15:00。</w:t>
      </w:r>
    </w:p>
    <w:p w14:paraId="56C9E33E">
      <w:pPr>
        <w:adjustRightInd w:val="0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（2）通过深圳证券交易所互联网投票系统投票的具体时间为：</w:t>
      </w:r>
      <w:r>
        <w:rPr>
          <w:rFonts w:hint="eastAsia" w:ascii="宋体" w:hAnsi="宋体" w:cs="宋体"/>
          <w:color w:val="auto"/>
          <w:sz w:val="24"/>
          <w:highlight w:val="none"/>
        </w:rPr>
        <w:t>2025年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17</w:t>
      </w:r>
      <w:r>
        <w:rPr>
          <w:rFonts w:hint="eastAsia" w:ascii="宋体" w:hAnsi="宋体" w:cs="宋体"/>
          <w:color w:val="auto"/>
          <w:sz w:val="24"/>
          <w:highlight w:val="none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9:15—15:00。</w:t>
      </w:r>
    </w:p>
    <w:p w14:paraId="1A1FA7F4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（二）现场会议召开地点：</w:t>
      </w:r>
      <w:r>
        <w:rPr>
          <w:rFonts w:hint="eastAsia" w:ascii="宋体" w:hAnsi="宋体" w:cs="宋体"/>
          <w:color w:val="auto"/>
          <w:sz w:val="24"/>
          <w:highlight w:val="none"/>
        </w:rPr>
        <w:t>福建省福州市闽侯县福州高新区乌龙江中大道7号海西高新技术产业园创新园二期16号楼13F会议室。</w:t>
      </w:r>
    </w:p>
    <w:p w14:paraId="4B7AFABB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（三）会议召集人：公司董事会</w:t>
      </w:r>
    </w:p>
    <w:p w14:paraId="47F1AF86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（四）会议主持人：董事长李国平先生</w:t>
      </w:r>
    </w:p>
    <w:p w14:paraId="1DE78E7C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（五）会议召开方式：现场表决与网络投票相结合的方式</w:t>
      </w:r>
    </w:p>
    <w:p w14:paraId="5751E69D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（六）会议召开的合法、合规性：经公司第五届董事会第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十一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次会议审议通过，公司召开2025年第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次临时股东大会，会议召集程序符合有关法律、行政法规、部门规章、规范性文件和公司章程的规定。</w:t>
      </w:r>
    </w:p>
    <w:p w14:paraId="7C08FE62">
      <w:pPr>
        <w:adjustRightInd w:val="0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（七）会议出席情况</w:t>
      </w:r>
    </w:p>
    <w:p w14:paraId="0013DE48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1、股东出席的总体情况：</w:t>
      </w:r>
    </w:p>
    <w:p w14:paraId="15431A32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通过现场和网络投票的股东417人，代表股份66,288,792股，占上市公司总股份的41.6212%。其中：通过现场投票的股东5人，代表股份65,131,292股，占上市公司总股份的40.8944%。通过网络投票的股东412人，代表股份1,157,500股，占上市公司总股份的0.7268%。</w:t>
      </w:r>
    </w:p>
    <w:p w14:paraId="4A509FD2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2、中小股东出席的总体情况：</w:t>
      </w:r>
    </w:p>
    <w:p w14:paraId="12101081">
      <w:pPr>
        <w:adjustRightInd w:val="0"/>
        <w:spacing w:line="360" w:lineRule="auto"/>
        <w:ind w:firstLine="480" w:firstLineChars="200"/>
        <w:jc w:val="both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通过现场和网络投票的中小股东412人，代表股份1,157,500股，占上市公司总股份的0.7268%。其中：通过现场投票的中小股东0人，代表股份0股，占上市公司总股份的0.0000%。通过网络投票的中小股东412人，代表股份1,157,500股，占上市公司总股份的0.7268%。</w:t>
      </w:r>
    </w:p>
    <w:p w14:paraId="0D55E4A1">
      <w:pPr>
        <w:adjustRightInd w:val="0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（八）公司董事、监事出席了本次会议，公司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全体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高级管理人员及见证律师等相关人员列席了本次会议。</w:t>
      </w:r>
    </w:p>
    <w:p w14:paraId="3330BE12">
      <w:pPr>
        <w:pStyle w:val="2"/>
        <w:keepNext w:val="0"/>
        <w:keepLines w:val="0"/>
        <w:spacing w:before="156" w:after="156"/>
        <w:rPr>
          <w:color w:val="auto"/>
        </w:rPr>
      </w:pPr>
      <w:r>
        <w:rPr>
          <w:rFonts w:hint="eastAsia"/>
          <w:color w:val="auto"/>
        </w:rPr>
        <w:t>二、议案审议表决情况</w:t>
      </w:r>
    </w:p>
    <w:p w14:paraId="6FF87A40">
      <w:pPr>
        <w:adjustRightInd w:val="0"/>
        <w:snapToGrid w:val="0"/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  <w:b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本次股东大会采取现场投票与网络投票相结合的方式，通过了以下议案：</w:t>
      </w:r>
    </w:p>
    <w:p w14:paraId="2A76CE8E">
      <w:pPr>
        <w:pStyle w:val="3"/>
        <w:keepNext w:val="0"/>
        <w:keepLines w:val="0"/>
        <w:ind w:firstLine="482"/>
        <w:rPr>
          <w:color w:val="auto"/>
        </w:rPr>
      </w:pPr>
      <w:r>
        <w:rPr>
          <w:rFonts w:hint="eastAsia"/>
          <w:color w:val="auto"/>
        </w:rPr>
        <w:t>（一）</w:t>
      </w:r>
      <w:r>
        <w:rPr>
          <w:rFonts w:hint="eastAsia" w:ascii="宋体" w:hAnsi="宋体"/>
          <w:color w:val="auto"/>
          <w:sz w:val="24"/>
        </w:rPr>
        <w:t>审议通过</w:t>
      </w:r>
      <w:bookmarkStart w:id="0" w:name="_Hlk155943017"/>
      <w:r>
        <w:rPr>
          <w:rFonts w:hint="eastAsia" w:ascii="宋体" w:hAnsi="宋体" w:eastAsia="宋体"/>
          <w:szCs w:val="21"/>
          <w:highlight w:val="none"/>
        </w:rPr>
        <w:t>《关于控股子公司股权转让及增资扩股暨公司放弃优先权的议案》</w:t>
      </w:r>
    </w:p>
    <w:p w14:paraId="032F5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总表决情况：</w:t>
      </w:r>
    </w:p>
    <w:p w14:paraId="49445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同意66,098,092股，占出席会议所有股东所持股份的99.7123%；反对171,100股，占出席会议所有股东所持股份的0.2581%；弃权19,600股（其中，因未投票默认弃权0股），占出席会议所有股东所持股份的0.0296%。</w:t>
      </w:r>
    </w:p>
    <w:p w14:paraId="3326E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中小股东总表决情况：</w:t>
      </w:r>
    </w:p>
    <w:p w14:paraId="4E4EC4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</w:rPr>
        <w:t>同意966,800股，占出席会议的中小股东所持股份的83.5248%；反对171,100股，占出席会议的中小股东所持股份的14.7819%；弃权19,600股（其中，因未投票默认弃权0股），占出席会议的中小股东所持股份的1.6933%。</w:t>
      </w:r>
    </w:p>
    <w:p w14:paraId="145FA368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本议案获得通过。</w:t>
      </w:r>
    </w:p>
    <w:bookmarkEnd w:id="0"/>
    <w:p w14:paraId="214887E2">
      <w:pPr>
        <w:pStyle w:val="2"/>
        <w:keepNext w:val="0"/>
        <w:keepLines w:val="0"/>
        <w:spacing w:before="156" w:after="156"/>
        <w:rPr>
          <w:color w:val="auto"/>
        </w:rPr>
      </w:pPr>
      <w:r>
        <w:rPr>
          <w:rFonts w:hint="eastAsia"/>
          <w:color w:val="auto"/>
        </w:rPr>
        <w:t>三、律师出具的法律意见</w:t>
      </w:r>
    </w:p>
    <w:p w14:paraId="76919B27">
      <w:pPr>
        <w:spacing w:line="360" w:lineRule="auto"/>
        <w:ind w:firstLine="480" w:firstLineChars="200"/>
        <w:rPr>
          <w:rStyle w:val="14"/>
          <w:rFonts w:asciiTheme="minorEastAsia" w:hAnsiTheme="minorEastAsia" w:eastAsiaTheme="minorEastAsia" w:cstheme="minorEastAsia"/>
          <w:b w:val="0"/>
          <w:bCs/>
          <w:color w:val="auto"/>
          <w:sz w:val="24"/>
          <w:szCs w:val="20"/>
          <w:highlight w:val="none"/>
        </w:rPr>
      </w:pPr>
      <w:r>
        <w:rPr>
          <w:rStyle w:val="14"/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0"/>
          <w:highlight w:val="none"/>
        </w:rPr>
        <w:t>国浩律师（上海）事务所</w:t>
      </w:r>
      <w:r>
        <w:rPr>
          <w:rFonts w:hint="eastAsia" w:ascii="宋体" w:hAnsi="宋体"/>
          <w:sz w:val="24"/>
        </w:rPr>
        <w:t>郑伊珺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陈晓菁</w:t>
      </w:r>
      <w:bookmarkStart w:id="1" w:name="_GoBack"/>
      <w:bookmarkEnd w:id="1"/>
      <w:r>
        <w:rPr>
          <w:rStyle w:val="14"/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0"/>
          <w:highlight w:val="none"/>
        </w:rPr>
        <w:t>律师出席了本次股东大会，进行现场见证并出具法律意见书，认为：公司本次股东大会的召集、召开程序符合相关法律、法规、规范性文件及《公司章程》的规定，出席本次股东大会人员的资格合法有效，本次股东大会表决程序及表决结果均合法有效。</w:t>
      </w:r>
    </w:p>
    <w:p w14:paraId="4AFA0DE5">
      <w:pPr>
        <w:pStyle w:val="2"/>
        <w:keepNext w:val="0"/>
        <w:keepLines w:val="0"/>
        <w:spacing w:before="156" w:after="156"/>
        <w:rPr>
          <w:color w:val="auto"/>
        </w:rPr>
      </w:pPr>
      <w:r>
        <w:rPr>
          <w:rFonts w:hint="eastAsia"/>
          <w:color w:val="auto"/>
        </w:rPr>
        <w:t>四、备查文件</w:t>
      </w:r>
    </w:p>
    <w:p w14:paraId="75F3E53A">
      <w:pPr>
        <w:adjustRightInd w:val="0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1、公司2025年第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次临时股东大会决议；</w:t>
      </w:r>
    </w:p>
    <w:p w14:paraId="28ADD683">
      <w:pPr>
        <w:adjustRightInd w:val="0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2、国浩律师（上海）事务所关于公司2025年第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次临时股东大会法律意见书。</w:t>
      </w:r>
    </w:p>
    <w:p w14:paraId="300B1D8F">
      <w:pPr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</w:p>
    <w:p w14:paraId="3579B2BE">
      <w:pPr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特此公告。</w:t>
      </w:r>
    </w:p>
    <w:p w14:paraId="18CAFAEB">
      <w:pPr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</w:p>
    <w:p w14:paraId="4B29B7B4">
      <w:pPr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</w:p>
    <w:p w14:paraId="3E08BF52">
      <w:pPr>
        <w:adjustRightInd w:val="0"/>
        <w:snapToGrid w:val="0"/>
        <w:spacing w:line="360" w:lineRule="auto"/>
        <w:ind w:firstLine="4440" w:firstLineChars="1850"/>
        <w:jc w:val="right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福建广生堂药业股份有限公司董事会</w:t>
      </w:r>
    </w:p>
    <w:p w14:paraId="70A07E3C">
      <w:pPr>
        <w:adjustRightInd w:val="0"/>
        <w:snapToGrid w:val="0"/>
        <w:spacing w:line="360" w:lineRule="auto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 xml:space="preserve">                                              2025年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日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ADC61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29AED">
    <w:pPr>
      <w:pStyle w:val="8"/>
      <w:tabs>
        <w:tab w:val="right" w:pos="9214"/>
        <w:tab w:val="clear" w:pos="8306"/>
      </w:tabs>
      <w:ind w:left="-1277" w:leftChars="-608" w:right="-1331" w:rightChars="-634" w:firstLine="1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" name="WordPictureWatermark3069298" descr="通用信笺底板20140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3069298" descr="通用信笺底板2014022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08DF6">
    <w:pPr>
      <w:pStyle w:val="8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2" name="WordPictureWatermark3069297" descr="通用信笺底板20140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069297" descr="通用信笺底板2014022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B26A7">
    <w:pPr>
      <w:pStyle w:val="8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1" name="WordPictureWatermark3069296" descr="通用信笺底板20140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069296" descr="通用信笺底板2014022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MDAzNjNiM2EwYjNjY2VkN2I2ZWY4OTg5YTA1ZWYifQ=="/>
    <w:docVar w:name="metasota_documentID" w:val="8596060606570332160"/>
  </w:docVars>
  <w:rsids>
    <w:rsidRoot w:val="000C3E62"/>
    <w:rsid w:val="000658E8"/>
    <w:rsid w:val="00070D5B"/>
    <w:rsid w:val="00087EDF"/>
    <w:rsid w:val="000C3E62"/>
    <w:rsid w:val="00177284"/>
    <w:rsid w:val="001D19C9"/>
    <w:rsid w:val="001E5B94"/>
    <w:rsid w:val="002833E4"/>
    <w:rsid w:val="003757A0"/>
    <w:rsid w:val="0044170C"/>
    <w:rsid w:val="00574652"/>
    <w:rsid w:val="00585463"/>
    <w:rsid w:val="005B4F5E"/>
    <w:rsid w:val="005E0340"/>
    <w:rsid w:val="005E698C"/>
    <w:rsid w:val="005F29FB"/>
    <w:rsid w:val="005F6F08"/>
    <w:rsid w:val="00635CCC"/>
    <w:rsid w:val="00684166"/>
    <w:rsid w:val="00763279"/>
    <w:rsid w:val="007C1AF5"/>
    <w:rsid w:val="00806FFA"/>
    <w:rsid w:val="00937C7F"/>
    <w:rsid w:val="009F73B1"/>
    <w:rsid w:val="00A21DFF"/>
    <w:rsid w:val="00A30B86"/>
    <w:rsid w:val="00A76B12"/>
    <w:rsid w:val="00AC6A4A"/>
    <w:rsid w:val="00BA063D"/>
    <w:rsid w:val="00BA6E18"/>
    <w:rsid w:val="00C76E9F"/>
    <w:rsid w:val="00CB1954"/>
    <w:rsid w:val="00D42F46"/>
    <w:rsid w:val="00DF2471"/>
    <w:rsid w:val="00E33B51"/>
    <w:rsid w:val="00E52011"/>
    <w:rsid w:val="00ED61B9"/>
    <w:rsid w:val="00EE6BAE"/>
    <w:rsid w:val="00F61B5E"/>
    <w:rsid w:val="00FA1F4E"/>
    <w:rsid w:val="00FD2F1A"/>
    <w:rsid w:val="01A43976"/>
    <w:rsid w:val="03E66FE9"/>
    <w:rsid w:val="0BF277E3"/>
    <w:rsid w:val="0FFC1742"/>
    <w:rsid w:val="10464A92"/>
    <w:rsid w:val="121360D8"/>
    <w:rsid w:val="13BB36C2"/>
    <w:rsid w:val="16922E00"/>
    <w:rsid w:val="16D01B7A"/>
    <w:rsid w:val="19A340FA"/>
    <w:rsid w:val="1A772A39"/>
    <w:rsid w:val="1CF96B9F"/>
    <w:rsid w:val="1E0F4D36"/>
    <w:rsid w:val="244D0366"/>
    <w:rsid w:val="25D7082F"/>
    <w:rsid w:val="261576E5"/>
    <w:rsid w:val="283427BA"/>
    <w:rsid w:val="2AC33443"/>
    <w:rsid w:val="2BA64529"/>
    <w:rsid w:val="2C305A12"/>
    <w:rsid w:val="2CD755B9"/>
    <w:rsid w:val="2D157E8F"/>
    <w:rsid w:val="309A50A6"/>
    <w:rsid w:val="30A7262D"/>
    <w:rsid w:val="330C6540"/>
    <w:rsid w:val="394E6C03"/>
    <w:rsid w:val="3D522A89"/>
    <w:rsid w:val="40D46CAC"/>
    <w:rsid w:val="44B15B01"/>
    <w:rsid w:val="45742E4C"/>
    <w:rsid w:val="45872DBC"/>
    <w:rsid w:val="4CDE2EB5"/>
    <w:rsid w:val="4F3B1580"/>
    <w:rsid w:val="53BF452D"/>
    <w:rsid w:val="59125193"/>
    <w:rsid w:val="5D373FE5"/>
    <w:rsid w:val="5FBB068B"/>
    <w:rsid w:val="620B2161"/>
    <w:rsid w:val="63894210"/>
    <w:rsid w:val="6AA10091"/>
    <w:rsid w:val="6AF361B3"/>
    <w:rsid w:val="71E74F23"/>
    <w:rsid w:val="7F03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50" w:afterLines="50" w:line="360" w:lineRule="auto"/>
      <w:outlineLvl w:val="0"/>
    </w:pPr>
    <w:rPr>
      <w:rFonts w:ascii="宋体" w:hAnsi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360" w:lineRule="auto"/>
      <w:ind w:firstLine="480" w:firstLineChars="200"/>
      <w:outlineLvl w:val="1"/>
    </w:pPr>
    <w:rPr>
      <w:rFonts w:ascii="宋体" w:hAnsi="宋体"/>
      <w:b/>
      <w:sz w:val="24"/>
    </w:rPr>
  </w:style>
  <w:style w:type="paragraph" w:styleId="4">
    <w:name w:val="heading 3"/>
    <w:basedOn w:val="1"/>
    <w:next w:val="1"/>
    <w:link w:val="14"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1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unhideWhenUsed/>
    <w:qFormat/>
    <w:uiPriority w:val="99"/>
  </w:style>
  <w:style w:type="character" w:customStyle="1" w:styleId="14">
    <w:name w:val="标题 3 字符"/>
    <w:link w:val="4"/>
    <w:qFormat/>
    <w:uiPriority w:val="0"/>
    <w:rPr>
      <w:b/>
      <w:sz w:val="32"/>
    </w:rPr>
  </w:style>
  <w:style w:type="character" w:customStyle="1" w:styleId="15">
    <w:name w:val="批注框文本 字符"/>
    <w:link w:val="6"/>
    <w:semiHidden/>
    <w:qFormat/>
    <w:uiPriority w:val="99"/>
    <w:rPr>
      <w:kern w:val="2"/>
      <w:sz w:val="18"/>
      <w:szCs w:val="18"/>
    </w:rPr>
  </w:style>
  <w:style w:type="character" w:customStyle="1" w:styleId="16">
    <w:name w:val="页脚 字符"/>
    <w:link w:val="7"/>
    <w:qFormat/>
    <w:uiPriority w:val="99"/>
    <w:rPr>
      <w:sz w:val="18"/>
      <w:szCs w:val="18"/>
    </w:rPr>
  </w:style>
  <w:style w:type="character" w:customStyle="1" w:styleId="17">
    <w:name w:val="页眉 字符"/>
    <w:link w:val="8"/>
    <w:semiHidden/>
    <w:qFormat/>
    <w:uiPriority w:val="99"/>
    <w:rPr>
      <w:sz w:val="18"/>
      <w:szCs w:val="18"/>
    </w:rPr>
  </w:style>
  <w:style w:type="character" w:customStyle="1" w:styleId="18">
    <w:name w:val="HTML 预设格式 字符"/>
    <w:link w:val="9"/>
    <w:qFormat/>
    <w:uiPriority w:val="99"/>
    <w:rPr>
      <w:rFonts w:ascii="宋体" w:hAnsi="宋体" w:cs="宋体"/>
      <w:sz w:val="24"/>
      <w:szCs w:val="24"/>
    </w:rPr>
  </w:style>
  <w:style w:type="paragraph" w:customStyle="1" w:styleId="1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table" w:customStyle="1" w:styleId="20">
    <w:name w:val="网格型1"/>
    <w:basedOn w:val="10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1">
    <w:name w:val="_Style 18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3</Pages>
  <Words>1244</Words>
  <Characters>1482</Characters>
  <Lines>11</Lines>
  <Paragraphs>3</Paragraphs>
  <TotalTime>0</TotalTime>
  <ScaleCrop>false</ScaleCrop>
  <LinksUpToDate>false</LinksUpToDate>
  <CharactersWithSpaces>1544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2014-02-19T09:25:00Z</dcterms:created>
  <dc:creator>王琴</dc:creator>
  <cp:lastModifiedBy>cdq</cp:lastModifiedBy>
  <cp:lastPrinted>2025-09-17T07:44:00Z</cp:lastPrinted>
  <dcterms:modified xsi:type="dcterms:W3CDTF">2025-09-17T09:23:01Z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DFD4D68029F44E859A948F86F752637A</vt:lpwstr>
  </property>
  <property fmtid="{D5CDD505-2E9C-101B-9397-08002B2CF9AE}" pid="4" name="KSOTemplateDocerSaveRecord">
    <vt:lpwstr>eyJoZGlkIjoiY2Q4MDAzNjNiM2EwYjNjY2VkN2I2ZWY4OTg5YTA1ZWYiLCJ1c2VySWQiOiIxMzk5OTUwMzQxIn0=</vt:lpwstr>
  </property>
</Properties>
</file>