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42297">
      <w:pPr>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rPr>
        <w:t>证券代码：300436        证券简称：广生堂      公告编号：2025</w:t>
      </w:r>
      <w:r>
        <w:rPr>
          <w:rFonts w:hint="eastAsia" w:ascii="宋体" w:hAnsi="宋体" w:cs="宋体"/>
          <w:kern w:val="0"/>
          <w:sz w:val="24"/>
          <w:szCs w:val="24"/>
          <w:lang w:val="en-US" w:eastAsia="zh-CN"/>
        </w:rPr>
        <w:t>054</w:t>
      </w:r>
    </w:p>
    <w:p w14:paraId="5C1FB96B">
      <w:pPr>
        <w:spacing w:before="156" w:beforeLines="50"/>
        <w:jc w:val="center"/>
        <w:rPr>
          <w:rFonts w:hint="eastAsia" w:ascii="宋体" w:hAnsi="宋体" w:cs="宋体"/>
          <w:b/>
          <w:kern w:val="0"/>
          <w:sz w:val="32"/>
          <w:szCs w:val="32"/>
        </w:rPr>
      </w:pPr>
      <w:r>
        <w:rPr>
          <w:rFonts w:hint="eastAsia" w:ascii="宋体" w:hAnsi="宋体" w:cs="宋体"/>
          <w:b/>
          <w:kern w:val="0"/>
          <w:sz w:val="32"/>
          <w:szCs w:val="32"/>
        </w:rPr>
        <w:t>福建广生堂药业股份有限公司</w:t>
      </w:r>
    </w:p>
    <w:p w14:paraId="48193169">
      <w:pPr>
        <w:jc w:val="center"/>
        <w:rPr>
          <w:rFonts w:hint="eastAsia" w:ascii="宋体" w:hAnsi="宋体" w:cs="宋体"/>
          <w:b/>
          <w:sz w:val="32"/>
          <w:szCs w:val="32"/>
        </w:rPr>
      </w:pPr>
      <w:r>
        <w:rPr>
          <w:rFonts w:hint="eastAsia" w:ascii="宋体" w:hAnsi="宋体" w:cs="宋体"/>
          <w:b/>
          <w:sz w:val="32"/>
          <w:szCs w:val="32"/>
        </w:rPr>
        <w:t>关于股票交易异常波动的公告</w:t>
      </w:r>
    </w:p>
    <w:p w14:paraId="0989666F">
      <w:pPr>
        <w:jc w:val="center"/>
        <w:rPr>
          <w:rFonts w:hint="eastAsia" w:ascii="宋体" w:hAnsi="宋体" w:cs="宋体"/>
          <w:b/>
          <w:sz w:val="24"/>
          <w:szCs w:val="24"/>
        </w:rPr>
      </w:pPr>
    </w:p>
    <w:tbl>
      <w:tblPr>
        <w:tblStyle w:val="10"/>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577257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772B6944">
            <w:pPr>
              <w:widowControl/>
              <w:ind w:firstLine="600" w:firstLineChars="200"/>
              <w:rPr>
                <w:rFonts w:hint="eastAsia" w:ascii="宋体" w:hAnsi="宋体" w:cs="宋体"/>
                <w:b/>
                <w:sz w:val="30"/>
                <w:szCs w:val="30"/>
              </w:rPr>
            </w:pPr>
            <w:r>
              <w:rPr>
                <w:rFonts w:hint="eastAsia" w:ascii="宋体" w:hAnsi="宋体" w:cs="宋体"/>
                <w:kern w:val="0"/>
                <w:sz w:val="30"/>
                <w:szCs w:val="30"/>
              </w:rPr>
              <w:t>本公司及董事会全体成员保证信息披露的内容真实、准确、完整，没有虚假记载、误导性陈述或重大遗漏。</w:t>
            </w:r>
          </w:p>
        </w:tc>
      </w:tr>
    </w:tbl>
    <w:p w14:paraId="589B73EC">
      <w:pPr>
        <w:adjustRightInd w:val="0"/>
        <w:snapToGrid w:val="0"/>
        <w:spacing w:line="360" w:lineRule="auto"/>
        <w:ind w:firstLine="482"/>
        <w:rPr>
          <w:rFonts w:hint="eastAsia" w:ascii="宋体" w:hAnsi="宋体" w:cs="宋体"/>
          <w:sz w:val="24"/>
          <w:szCs w:val="24"/>
        </w:rPr>
      </w:pPr>
    </w:p>
    <w:p w14:paraId="6E15F6EC">
      <w:pPr>
        <w:adjustRightInd w:val="0"/>
        <w:snapToGrid w:val="0"/>
        <w:spacing w:line="360" w:lineRule="auto"/>
        <w:ind w:firstLine="482"/>
        <w:rPr>
          <w:rFonts w:hint="eastAsia" w:ascii="宋体" w:hAnsi="宋体" w:cs="宋体"/>
          <w:b/>
          <w:bCs/>
          <w:sz w:val="24"/>
          <w:szCs w:val="24"/>
        </w:rPr>
      </w:pPr>
      <w:r>
        <w:rPr>
          <w:rFonts w:hint="eastAsia" w:ascii="宋体" w:hAnsi="宋体" w:cs="宋体"/>
          <w:b/>
          <w:bCs/>
          <w:sz w:val="24"/>
          <w:szCs w:val="24"/>
        </w:rPr>
        <w:t>特别提示：</w:t>
      </w:r>
    </w:p>
    <w:p w14:paraId="0BF88F0C">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1、福建广生堂药业股份有限公司（以下简称“公司”）股票自2025年7月29日至7月31日连续三个交易日收盘价格涨幅偏离值累计超过30%。根据《深圳证券交易所交易规则》规定，属于股票交易异常波动的情况。根据中证指数有限公司最新数据显示，截至2025年7月</w:t>
      </w:r>
      <w:r>
        <w:rPr>
          <w:rFonts w:hint="eastAsia" w:ascii="宋体" w:hAnsi="宋体" w:cs="宋体"/>
          <w:sz w:val="24"/>
          <w:szCs w:val="24"/>
          <w:lang w:val="en-US" w:eastAsia="zh-CN"/>
        </w:rPr>
        <w:t>30</w:t>
      </w:r>
      <w:r>
        <w:rPr>
          <w:rFonts w:hint="eastAsia" w:ascii="宋体" w:hAnsi="宋体" w:cs="宋体"/>
          <w:sz w:val="24"/>
          <w:szCs w:val="24"/>
        </w:rPr>
        <w:t>日，公司的最新市净率为</w:t>
      </w:r>
      <w:r>
        <w:rPr>
          <w:rFonts w:hint="eastAsia" w:ascii="宋体" w:hAnsi="宋体" w:cs="宋体"/>
          <w:sz w:val="24"/>
          <w:szCs w:val="24"/>
          <w:lang w:val="en-US" w:eastAsia="zh-CN"/>
        </w:rPr>
        <w:t>46.58</w:t>
      </w:r>
      <w:r>
        <w:rPr>
          <w:rFonts w:hint="eastAsia" w:ascii="宋体" w:hAnsi="宋体" w:cs="宋体"/>
          <w:sz w:val="24"/>
          <w:szCs w:val="24"/>
        </w:rPr>
        <w:t>；公司所属中上协行业分类“医药制造业（C27）”的最新市净率为</w:t>
      </w:r>
      <w:r>
        <w:rPr>
          <w:rFonts w:hint="eastAsia" w:ascii="宋体" w:hAnsi="宋体" w:cs="宋体"/>
          <w:sz w:val="24"/>
          <w:szCs w:val="24"/>
          <w:lang w:val="en-US" w:eastAsia="zh-CN"/>
        </w:rPr>
        <w:t>3.17</w:t>
      </w:r>
      <w:r>
        <w:rPr>
          <w:rFonts w:hint="eastAsia" w:ascii="宋体" w:hAnsi="宋体" w:cs="宋体"/>
          <w:sz w:val="24"/>
          <w:szCs w:val="24"/>
        </w:rPr>
        <w:t>。公司市净率与同行业的情况有较大差异。公司股价短期内大幅上涨，但公司基本面未发生重大变化，可能存在股价大幅上涨后回落的风险，郑重提醒广大投资者注意公司股票二级市场交易风险，理性决策，谨慎投资。</w:t>
      </w:r>
    </w:p>
    <w:p w14:paraId="0F3E9E61">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2、公司最近三年及一期经营业绩连续亏损。公司2022年至2025年第一季度归属于上市公司股东的净利润分别为-12,740.39万元、-34,858.98万元、-15,630.44万元，-2,848.89万元。敬请广大投资者注意投资风险，谨慎决策。</w:t>
      </w:r>
    </w:p>
    <w:p w14:paraId="3D252A43">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3、2025年7月26日，公司披露了《关于乙肝治疗一类创新药奈瑞可韦GST-HG141的III期临床试验首例受试者成功入组的公告》（公告编号：2025053），公司乙肝治疗一类创新药奈瑞可韦GST-HG141的III期临床试验，已在树兰（杭州）医院完成首例受试者成功入组给药，并不代表能获批上市，</w:t>
      </w:r>
      <w:r>
        <w:rPr>
          <w:rFonts w:hint="eastAsia" w:ascii="宋体" w:hAnsi="宋体" w:cs="宋体"/>
          <w:sz w:val="24"/>
          <w:szCs w:val="24"/>
          <w:lang w:val="en-US" w:eastAsia="zh-CN"/>
        </w:rPr>
        <w:t>短期内</w:t>
      </w:r>
      <w:r>
        <w:rPr>
          <w:rFonts w:hint="eastAsia" w:ascii="宋体" w:hAnsi="宋体" w:cs="宋体"/>
          <w:sz w:val="24"/>
          <w:szCs w:val="24"/>
        </w:rPr>
        <w:t>也不会对公司业绩产生重大影响。创新药研发周期长，投入大，风险高，容易受到技术、审批、政策等多方面因素的影响，临床研究存在结果不及预期甚至临床研究失败的风险，后续能否获得批准存在不确定性。根据《药品注册管理办法》等法规的相关规定，新药注册一般需经过临床前基础工作、临床研究审批、生产审批等阶段，存在较大的不确定性，如果最终未能通过新药注册审批，致使研发失败，公司前期研发投入将无法回收。敬请广大投资者注意投资风险。</w:t>
      </w:r>
    </w:p>
    <w:p w14:paraId="5EBB1546">
      <w:pPr>
        <w:pStyle w:val="2"/>
        <w:spacing w:before="156" w:after="156"/>
        <w:rPr>
          <w:rFonts w:hint="eastAsia" w:ascii="宋体" w:hAnsi="宋体" w:cs="宋体"/>
        </w:rPr>
      </w:pPr>
      <w:r>
        <w:rPr>
          <w:rFonts w:hint="eastAsia" w:ascii="宋体" w:hAnsi="宋体" w:cs="宋体"/>
        </w:rPr>
        <w:t>一、股票交易异常波动的具体情况</w:t>
      </w:r>
    </w:p>
    <w:p w14:paraId="4A2C17E3">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公司股票自2025年7月29日至7月31日连续三个交易日收盘价格涨幅偏离值累计超过30%。根据《深圳证券交易所</w:t>
      </w:r>
      <w:bookmarkStart w:id="1" w:name="_GoBack"/>
      <w:bookmarkEnd w:id="1"/>
      <w:r>
        <w:rPr>
          <w:rFonts w:hint="eastAsia" w:ascii="宋体" w:hAnsi="宋体" w:cs="宋体"/>
          <w:sz w:val="24"/>
          <w:szCs w:val="24"/>
        </w:rPr>
        <w:t>交易规则》规定，属于股票交易异常波动的情况。</w:t>
      </w:r>
    </w:p>
    <w:p w14:paraId="189D4A2A">
      <w:pPr>
        <w:pStyle w:val="2"/>
        <w:spacing w:before="156" w:after="156"/>
      </w:pPr>
      <w:r>
        <w:rPr>
          <w:rFonts w:hint="eastAsia"/>
        </w:rPr>
        <w:t>二、</w:t>
      </w:r>
      <w:bookmarkStart w:id="0" w:name="OLE_LINK5"/>
      <w:r>
        <w:rPr>
          <w:rFonts w:hint="eastAsia"/>
        </w:rPr>
        <w:t>说明关注、核实情况</w:t>
      </w:r>
      <w:bookmarkEnd w:id="0"/>
    </w:p>
    <w:p w14:paraId="6532F9E8">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针对公司股票交易异常波动，公司董事会已向公司、控股股东及实际控制人等就相关问题进行了核实，现将相关情况说明如下：</w:t>
      </w:r>
    </w:p>
    <w:p w14:paraId="6FAA3283">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1、公司前期披露的信息不存在需要更正、补充之处。</w:t>
      </w:r>
    </w:p>
    <w:p w14:paraId="6F60C7BE">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2025年7月26日，公司披露了《关于乙肝治疗一类创新药奈瑞可韦GST-HG141的III期临床试验首例受试者成功入组的公告》（公告编号：2025053），公司乙肝治疗一类创新药奈瑞可韦GST-HG141的III期临床试验，已在树兰（杭州）医院完成首例受试者成功入组给药。除前述信息外，公司未发现近期公共传媒报道了可能或已经对本公司股票交易价格产生较大影响的未公开重大信息。</w:t>
      </w:r>
    </w:p>
    <w:p w14:paraId="6EDBC379">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3、近期公司经营情况及内外部经营环境未发生重大变化。</w:t>
      </w:r>
    </w:p>
    <w:p w14:paraId="7FE6F81B">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4、公司及控股股东、实际控制人不存在应披露而未披露的重大事项，也不存在除已披露事项外处于筹划阶段的重大事项。</w:t>
      </w:r>
    </w:p>
    <w:p w14:paraId="5AC92D73">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5、股票异常波动期间，公司控股股东、实际控制人及其一致行动人不存在买卖公司股票的情形。</w:t>
      </w:r>
    </w:p>
    <w:p w14:paraId="72E1888A">
      <w:pPr>
        <w:pStyle w:val="2"/>
        <w:spacing w:before="156" w:after="156"/>
      </w:pPr>
      <w:r>
        <w:rPr>
          <w:rFonts w:hint="eastAsia"/>
        </w:rPr>
        <w:t>三、是否存在应披露而未披露信息的说明</w:t>
      </w:r>
    </w:p>
    <w:p w14:paraId="51400853">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本公司董事会确认，除前述事项（指第二部分“说明关注、核实情况”涉及事项）外，本公司目前没有任何根据《深圳证券交易所创业板股票上市规则》等有关规定应予以披露而未披露的事项或与该事项有关的筹划、商谈、意向、协议等；董事会也未获悉本公司有根据《深圳证券交易所创业板股票上市规则》等有关规定应予以披露而未披露的、对本公司股票及衍生品种交易价格产生较大影响的信息；公司前期披露的信息不存在需要更正、补充之处。</w:t>
      </w:r>
    </w:p>
    <w:p w14:paraId="208C2B1A">
      <w:pPr>
        <w:pStyle w:val="2"/>
        <w:spacing w:before="156" w:after="156"/>
        <w:rPr>
          <w:rFonts w:hint="eastAsia" w:ascii="宋体" w:hAnsi="宋体" w:cs="宋体"/>
        </w:rPr>
      </w:pPr>
      <w:r>
        <w:rPr>
          <w:rFonts w:hint="eastAsia" w:ascii="宋体" w:hAnsi="宋体" w:cs="宋体"/>
        </w:rPr>
        <w:t>四、公司认为必要的风险提示</w:t>
      </w:r>
    </w:p>
    <w:p w14:paraId="3C5E3AD8">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1、经自查，公司不存在违反信息公平披露的情形。</w:t>
      </w:r>
    </w:p>
    <w:p w14:paraId="0604455E">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2、公司最近三年及一期经营业绩连续亏损。公司2022年至2025年第一季度归属于上市公司股东的净利润分别为-12,740.39万元、-34,858.98万元、</w:t>
      </w:r>
      <w:r>
        <w:rPr>
          <w:rFonts w:ascii="宋体" w:hAnsi="宋体" w:cs="宋体"/>
          <w:sz w:val="24"/>
          <w:szCs w:val="24"/>
        </w:rPr>
        <w:t>-15</w:t>
      </w:r>
      <w:r>
        <w:rPr>
          <w:rFonts w:hint="eastAsia" w:ascii="宋体" w:hAnsi="宋体" w:cs="宋体"/>
          <w:sz w:val="24"/>
          <w:szCs w:val="24"/>
        </w:rPr>
        <w:t>,</w:t>
      </w:r>
      <w:r>
        <w:rPr>
          <w:rFonts w:ascii="宋体" w:hAnsi="宋体" w:cs="宋体"/>
          <w:sz w:val="24"/>
          <w:szCs w:val="24"/>
        </w:rPr>
        <w:t>630</w:t>
      </w:r>
      <w:r>
        <w:rPr>
          <w:rFonts w:hint="eastAsia" w:ascii="宋体" w:hAnsi="宋体" w:cs="宋体"/>
          <w:sz w:val="24"/>
          <w:szCs w:val="24"/>
        </w:rPr>
        <w:t>.44万元，-2,848.89万元。敬请广大投资者注意投资风险。</w:t>
      </w:r>
    </w:p>
    <w:p w14:paraId="6CE5D2E7">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3、创新药研发周期长，投入大，风险高，容易受到多方面因素的影响，临床研究存在结果不及预期甚至失败的风险，后续能否获得批准上市存在不确定性，短期内对公司业绩不会产生重大影响。敬请广大投资者谨慎决策，注意防范投资风险。</w:t>
      </w:r>
    </w:p>
    <w:p w14:paraId="47D8EB1E">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4、公司指定的信息披露媒体为《证券时报》、《证券日报》、《中国证券报》、《上海证券报》和巨潮资讯网（http://www.cninfo.com.cn），有关公司的信息均以在上述指定媒体刊登的信息为准，敬请广大投资者理性投资，注意风险。</w:t>
      </w:r>
    </w:p>
    <w:p w14:paraId="67C0B9D5">
      <w:pPr>
        <w:pStyle w:val="9"/>
        <w:spacing w:before="156" w:beforeLines="50" w:beforeAutospacing="0" w:after="156" w:afterLines="50" w:afterAutospacing="0" w:line="360" w:lineRule="auto"/>
        <w:ind w:firstLine="480" w:firstLineChars="200"/>
        <w:rPr>
          <w:rFonts w:hint="eastAsia"/>
          <w:kern w:val="2"/>
          <w:szCs w:val="21"/>
        </w:rPr>
      </w:pPr>
      <w:r>
        <w:rPr>
          <w:rFonts w:hint="eastAsia"/>
        </w:rPr>
        <w:t>特此公告。</w:t>
      </w:r>
    </w:p>
    <w:p w14:paraId="67A61BB5">
      <w:pPr>
        <w:widowControl/>
        <w:adjustRightInd w:val="0"/>
        <w:snapToGrid w:val="0"/>
        <w:spacing w:line="360" w:lineRule="auto"/>
        <w:ind w:firstLine="480" w:firstLineChars="200"/>
        <w:jc w:val="right"/>
        <w:rPr>
          <w:rFonts w:hint="eastAsia" w:ascii="宋体" w:hAnsi="宋体" w:cs="宋体"/>
          <w:sz w:val="24"/>
          <w:szCs w:val="21"/>
        </w:rPr>
      </w:pPr>
    </w:p>
    <w:p w14:paraId="6A81EE34">
      <w:pPr>
        <w:widowControl/>
        <w:adjustRightInd w:val="0"/>
        <w:snapToGrid w:val="0"/>
        <w:spacing w:line="360" w:lineRule="auto"/>
        <w:ind w:firstLine="480" w:firstLineChars="200"/>
        <w:jc w:val="right"/>
        <w:rPr>
          <w:rFonts w:hint="eastAsia" w:ascii="宋体" w:hAnsi="宋体" w:cs="宋体"/>
          <w:sz w:val="24"/>
          <w:szCs w:val="21"/>
        </w:rPr>
      </w:pPr>
    </w:p>
    <w:p w14:paraId="159C3FF9">
      <w:pPr>
        <w:widowControl/>
        <w:adjustRightInd w:val="0"/>
        <w:snapToGrid w:val="0"/>
        <w:spacing w:line="360" w:lineRule="auto"/>
        <w:ind w:firstLine="480" w:firstLineChars="200"/>
        <w:jc w:val="right"/>
        <w:rPr>
          <w:rFonts w:hint="eastAsia" w:ascii="宋体" w:hAnsi="宋体" w:cs="宋体"/>
          <w:sz w:val="24"/>
          <w:szCs w:val="21"/>
        </w:rPr>
      </w:pPr>
      <w:r>
        <w:rPr>
          <w:rFonts w:hint="eastAsia" w:ascii="宋体" w:hAnsi="宋体" w:cs="宋体"/>
          <w:sz w:val="24"/>
          <w:szCs w:val="21"/>
        </w:rPr>
        <w:t>福建广生堂药业股份有限公司董事会</w:t>
      </w:r>
    </w:p>
    <w:p w14:paraId="264EE955">
      <w:pPr>
        <w:widowControl/>
        <w:adjustRightInd w:val="0"/>
        <w:snapToGrid w:val="0"/>
        <w:spacing w:line="360" w:lineRule="auto"/>
        <w:ind w:firstLine="5520" w:firstLineChars="2300"/>
        <w:jc w:val="left"/>
        <w:rPr>
          <w:rFonts w:hint="eastAsia" w:ascii="宋体" w:hAnsi="宋体" w:cs="宋体"/>
          <w:sz w:val="24"/>
          <w:szCs w:val="24"/>
        </w:rPr>
      </w:pPr>
      <w:r>
        <w:rPr>
          <w:rFonts w:hint="eastAsia" w:ascii="宋体" w:hAnsi="宋体" w:cs="宋体"/>
          <w:sz w:val="24"/>
          <w:szCs w:val="21"/>
        </w:rPr>
        <w:t>2025年7月31日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0F9A1">
    <w:pPr>
      <w:pStyle w:val="6"/>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176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F3A6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418E">
    <w:pPr>
      <w:pStyle w:val="7"/>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5043">
    <w:pPr>
      <w:pStyle w:val="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3186B">
    <w:pPr>
      <w:pStyle w:val="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DAzNjNiM2EwYjNjY2VkN2I2ZWY4OTg5YTA1ZWYifQ=="/>
    <w:docVar w:name="metasota_documentID" w:val="8629386074233737216"/>
  </w:docVars>
  <w:rsids>
    <w:rsidRoot w:val="00082C74"/>
    <w:rsid w:val="00043EA5"/>
    <w:rsid w:val="00062142"/>
    <w:rsid w:val="00082C74"/>
    <w:rsid w:val="000C5D8D"/>
    <w:rsid w:val="000F1437"/>
    <w:rsid w:val="000F2B72"/>
    <w:rsid w:val="000F51AB"/>
    <w:rsid w:val="00144C6A"/>
    <w:rsid w:val="00161734"/>
    <w:rsid w:val="001F5A28"/>
    <w:rsid w:val="002078A5"/>
    <w:rsid w:val="0021331C"/>
    <w:rsid w:val="002448CC"/>
    <w:rsid w:val="0024604B"/>
    <w:rsid w:val="002562CC"/>
    <w:rsid w:val="002D1F1C"/>
    <w:rsid w:val="00303F01"/>
    <w:rsid w:val="00303F1D"/>
    <w:rsid w:val="003225AE"/>
    <w:rsid w:val="00376191"/>
    <w:rsid w:val="003975DD"/>
    <w:rsid w:val="003C796A"/>
    <w:rsid w:val="003E73EA"/>
    <w:rsid w:val="003E7976"/>
    <w:rsid w:val="004309A9"/>
    <w:rsid w:val="00432AA7"/>
    <w:rsid w:val="00472B98"/>
    <w:rsid w:val="00494C23"/>
    <w:rsid w:val="004C65EB"/>
    <w:rsid w:val="004C7FBE"/>
    <w:rsid w:val="004D3DF7"/>
    <w:rsid w:val="004F03D6"/>
    <w:rsid w:val="00532AA5"/>
    <w:rsid w:val="00547EA4"/>
    <w:rsid w:val="00571DF5"/>
    <w:rsid w:val="006325CC"/>
    <w:rsid w:val="0066395D"/>
    <w:rsid w:val="00690D05"/>
    <w:rsid w:val="006B1FE9"/>
    <w:rsid w:val="006C71F1"/>
    <w:rsid w:val="007320D8"/>
    <w:rsid w:val="007568F4"/>
    <w:rsid w:val="00756F5D"/>
    <w:rsid w:val="00791B37"/>
    <w:rsid w:val="007D07FC"/>
    <w:rsid w:val="007F5678"/>
    <w:rsid w:val="00861A88"/>
    <w:rsid w:val="008B4798"/>
    <w:rsid w:val="008D4935"/>
    <w:rsid w:val="008D666C"/>
    <w:rsid w:val="008E44A2"/>
    <w:rsid w:val="008F7D88"/>
    <w:rsid w:val="008F7F84"/>
    <w:rsid w:val="00910D93"/>
    <w:rsid w:val="009E07F6"/>
    <w:rsid w:val="00A00FE0"/>
    <w:rsid w:val="00A32C8B"/>
    <w:rsid w:val="00A344A1"/>
    <w:rsid w:val="00A805AA"/>
    <w:rsid w:val="00AB4096"/>
    <w:rsid w:val="00AC637B"/>
    <w:rsid w:val="00AF1AA1"/>
    <w:rsid w:val="00B467C7"/>
    <w:rsid w:val="00BE7D4C"/>
    <w:rsid w:val="00C2366F"/>
    <w:rsid w:val="00C36431"/>
    <w:rsid w:val="00CB14CA"/>
    <w:rsid w:val="00CC0F8D"/>
    <w:rsid w:val="00CC3391"/>
    <w:rsid w:val="00CD4982"/>
    <w:rsid w:val="00D001AA"/>
    <w:rsid w:val="00D44ECB"/>
    <w:rsid w:val="00DA523A"/>
    <w:rsid w:val="00DB2420"/>
    <w:rsid w:val="00E10BCF"/>
    <w:rsid w:val="00E67221"/>
    <w:rsid w:val="00E71137"/>
    <w:rsid w:val="00F40987"/>
    <w:rsid w:val="00F46DA3"/>
    <w:rsid w:val="00FB5D5B"/>
    <w:rsid w:val="00FB6B56"/>
    <w:rsid w:val="00FC5C66"/>
    <w:rsid w:val="01832591"/>
    <w:rsid w:val="0410290D"/>
    <w:rsid w:val="060A4E28"/>
    <w:rsid w:val="08B74923"/>
    <w:rsid w:val="093208FE"/>
    <w:rsid w:val="0B0225D9"/>
    <w:rsid w:val="0BC41804"/>
    <w:rsid w:val="0D1E5600"/>
    <w:rsid w:val="106D4074"/>
    <w:rsid w:val="10AE6DBE"/>
    <w:rsid w:val="141B4B0A"/>
    <w:rsid w:val="14B42A93"/>
    <w:rsid w:val="15E20BAE"/>
    <w:rsid w:val="17286D0C"/>
    <w:rsid w:val="179764FD"/>
    <w:rsid w:val="17995CB5"/>
    <w:rsid w:val="17BE4DAF"/>
    <w:rsid w:val="19463C6E"/>
    <w:rsid w:val="1A4D7493"/>
    <w:rsid w:val="1AD55213"/>
    <w:rsid w:val="1BCB2D28"/>
    <w:rsid w:val="1CB735C0"/>
    <w:rsid w:val="1E731769"/>
    <w:rsid w:val="21160150"/>
    <w:rsid w:val="24A94139"/>
    <w:rsid w:val="24D35EFE"/>
    <w:rsid w:val="27800A53"/>
    <w:rsid w:val="27C56BA3"/>
    <w:rsid w:val="280D1D37"/>
    <w:rsid w:val="29961AB0"/>
    <w:rsid w:val="2A8668B4"/>
    <w:rsid w:val="2BD90527"/>
    <w:rsid w:val="2DA73BC9"/>
    <w:rsid w:val="2E954DE4"/>
    <w:rsid w:val="2F4260D0"/>
    <w:rsid w:val="2F793B62"/>
    <w:rsid w:val="30333103"/>
    <w:rsid w:val="32070D49"/>
    <w:rsid w:val="35644951"/>
    <w:rsid w:val="36C10BB7"/>
    <w:rsid w:val="39E40DA8"/>
    <w:rsid w:val="3A896735"/>
    <w:rsid w:val="3BA819AA"/>
    <w:rsid w:val="3DFB283E"/>
    <w:rsid w:val="41BE5866"/>
    <w:rsid w:val="428E2D6F"/>
    <w:rsid w:val="43071F86"/>
    <w:rsid w:val="4317351F"/>
    <w:rsid w:val="452669A6"/>
    <w:rsid w:val="46A81416"/>
    <w:rsid w:val="4CBC5798"/>
    <w:rsid w:val="4D1A7B0D"/>
    <w:rsid w:val="4D9549A9"/>
    <w:rsid w:val="4E520210"/>
    <w:rsid w:val="4E787F99"/>
    <w:rsid w:val="4EA67471"/>
    <w:rsid w:val="4ED072DF"/>
    <w:rsid w:val="4FDE1EEA"/>
    <w:rsid w:val="51246450"/>
    <w:rsid w:val="5335321D"/>
    <w:rsid w:val="53CA4C80"/>
    <w:rsid w:val="54613836"/>
    <w:rsid w:val="54F25B03"/>
    <w:rsid w:val="55701CD9"/>
    <w:rsid w:val="56DB07AC"/>
    <w:rsid w:val="5CA23B87"/>
    <w:rsid w:val="61371BA7"/>
    <w:rsid w:val="61A46B11"/>
    <w:rsid w:val="61BD594B"/>
    <w:rsid w:val="65B926B0"/>
    <w:rsid w:val="66F64CB2"/>
    <w:rsid w:val="67D0597C"/>
    <w:rsid w:val="68867589"/>
    <w:rsid w:val="6AC01691"/>
    <w:rsid w:val="6B7B2FD8"/>
    <w:rsid w:val="6C1D7DFE"/>
    <w:rsid w:val="6CD25FA5"/>
    <w:rsid w:val="6DC538B9"/>
    <w:rsid w:val="6F897E18"/>
    <w:rsid w:val="70B25A9A"/>
    <w:rsid w:val="70C0732B"/>
    <w:rsid w:val="71A32C3D"/>
    <w:rsid w:val="74E51BC9"/>
    <w:rsid w:val="756B0879"/>
    <w:rsid w:val="75BB0D44"/>
    <w:rsid w:val="788039DC"/>
    <w:rsid w:val="78EE574A"/>
    <w:rsid w:val="798C7FDD"/>
    <w:rsid w:val="7D975515"/>
    <w:rsid w:val="7F060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9"/>
    <w:pPr>
      <w:keepNext/>
      <w:keepLines/>
      <w:spacing w:beforeLines="50" w:afterLines="50" w:line="360" w:lineRule="auto"/>
      <w:outlineLvl w:val="0"/>
    </w:pPr>
    <w:rPr>
      <w:b/>
      <w:kern w:val="44"/>
      <w:sz w:val="24"/>
    </w:rPr>
  </w:style>
  <w:style w:type="paragraph" w:styleId="4">
    <w:name w:val="heading 3"/>
    <w:basedOn w:val="1"/>
    <w:next w:val="1"/>
    <w:qFormat/>
    <w:uiPriority w:val="9"/>
    <w:pPr>
      <w:keepNext/>
      <w:keepLines/>
      <w:spacing w:before="260" w:after="260"/>
      <w:outlineLvl w:val="2"/>
    </w:pPr>
    <w:rPr>
      <w:b/>
      <w:kern w:val="0"/>
      <w:sz w:val="2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脚 字符"/>
    <w:link w:val="6"/>
    <w:qFormat/>
    <w:uiPriority w:val="99"/>
    <w:rPr>
      <w:sz w:val="18"/>
      <w:szCs w:val="18"/>
    </w:rPr>
  </w:style>
  <w:style w:type="character" w:customStyle="1" w:styleId="14">
    <w:name w:val="页眉 字符"/>
    <w:link w:val="7"/>
    <w:semiHidden/>
    <w:qFormat/>
    <w:uiPriority w:val="99"/>
    <w:rPr>
      <w:sz w:val="18"/>
      <w:szCs w:val="18"/>
    </w:rPr>
  </w:style>
  <w:style w:type="character" w:customStyle="1" w:styleId="15">
    <w:name w:val="HTML 预设格式 字符"/>
    <w:link w:val="8"/>
    <w:qFormat/>
    <w:uiPriority w:val="99"/>
    <w:rPr>
      <w:rFonts w:ascii="宋体" w:hAnsi="宋体" w:cs="宋体"/>
      <w:sz w:val="24"/>
      <w:szCs w:val="24"/>
    </w:rPr>
  </w:style>
  <w:style w:type="table" w:customStyle="1" w:styleId="16">
    <w:name w:val="网格型1"/>
    <w:basedOn w:val="10"/>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fontstyle01"/>
    <w:qFormat/>
    <w:uiPriority w:val="0"/>
    <w:rPr>
      <w:rFonts w:hint="eastAsia" w:ascii="宋体" w:hAnsi="宋体" w:eastAsia="宋体"/>
      <w:color w:val="000000"/>
      <w:sz w:val="24"/>
      <w:szCs w:val="24"/>
    </w:rPr>
  </w:style>
  <w:style w:type="paragraph" w:customStyle="1" w:styleId="18">
    <w:name w:val="修订1"/>
    <w:hidden/>
    <w:unhideWhenUsed/>
    <w:qFormat/>
    <w:uiPriority w:val="99"/>
    <w:rPr>
      <w:rFonts w:ascii="Calibri" w:hAnsi="Calibri" w:eastAsia="宋体" w:cs="Times New Roman"/>
      <w:kern w:val="2"/>
      <w:sz w:val="21"/>
      <w:szCs w:val="22"/>
      <w:lang w:val="en-US" w:eastAsia="zh-CN" w:bidi="ar-SA"/>
    </w:rPr>
  </w:style>
  <w:style w:type="paragraph" w:customStyle="1" w:styleId="19">
    <w:name w:val="修订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3</Pages>
  <Words>1778</Words>
  <Characters>1985</Characters>
  <Lines>9</Lines>
  <Paragraphs>2</Paragraphs>
  <TotalTime>4</TotalTime>
  <ScaleCrop>false</ScaleCrop>
  <LinksUpToDate>false</LinksUpToDate>
  <CharactersWithSpaces>2001</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2014-02-19T09:25:00Z</dcterms:created>
  <dc:creator>王琴</dc:creator>
  <cp:lastModifiedBy>cdq</cp:lastModifiedBy>
  <cp:lastPrinted>2025-07-31T03:55:00Z</cp:lastPrinted>
  <dcterms:modified xsi:type="dcterms:W3CDTF">2025-07-31T09:41:43Z</dcterms:modified>
  <dc:title>证券代码:300436      证券简称：广生堂     公告编号：20170</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AA7FC7C7664E468FBD22A6CC66A61750</vt:lpwstr>
  </property>
  <property fmtid="{D5CDD505-2E9C-101B-9397-08002B2CF9AE}" pid="4" name="KSOTemplateDocerSaveRecord">
    <vt:lpwstr>eyJoZGlkIjoiY2Q4MDAzNjNiM2EwYjNjY2VkN2I2ZWY4OTg5YTA1ZWYiLCJ1c2VySWQiOiIxMzk5OTUwMzQxIn0=</vt:lpwstr>
  </property>
</Properties>
</file>