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30AFA">
      <w:pPr>
        <w:pStyle w:val="9"/>
        <w:jc w:val="center"/>
        <w:rPr>
          <w:rFonts w:ascii="宋体" w:hAnsi="宋体"/>
          <w:sz w:val="30"/>
          <w:szCs w:val="30"/>
        </w:rPr>
      </w:pPr>
      <w:r>
        <w:rPr>
          <w:rFonts w:hint="eastAsia" w:ascii="宋体" w:hAnsi="宋体"/>
          <w:sz w:val="30"/>
          <w:szCs w:val="30"/>
        </w:rPr>
        <w:t>福建广生堂药业股份有限公司</w:t>
      </w:r>
    </w:p>
    <w:p w14:paraId="6AC8DDAD">
      <w:pPr>
        <w:pStyle w:val="9"/>
        <w:spacing w:after="156" w:afterLines="50"/>
        <w:jc w:val="center"/>
        <w:rPr>
          <w:rFonts w:ascii="宋体" w:hAnsi="宋体"/>
        </w:rPr>
      </w:pPr>
      <w:r>
        <w:rPr>
          <w:rFonts w:hint="eastAsia" w:ascii="宋体" w:hAnsi="宋体" w:eastAsia="宋体" w:cs="宋体"/>
          <w:b/>
          <w:color w:val="auto"/>
          <w:sz w:val="32"/>
          <w:szCs w:val="32"/>
          <w14:ligatures w14:val="none"/>
        </w:rPr>
        <w:t>董事会审计委员会对会计师事务所履行监督职责情况报告</w:t>
      </w:r>
    </w:p>
    <w:p w14:paraId="189FDC67">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根据《中华人民共和国公司法》《中华人民共和国证券法》《上市公司治理准则》《国有企业、上市公司选聘会计师事务所管理办法》《深圳证券交易所上市公司自律监管指引第2号——创业板上市公司规范运作》等法律法规和规范性文件的要求，福建广生堂药业股份有限公司（以下简称“公司”）董事会审计委员会本着勤勉尽责的原则，恪尽职守，认真履职。现将董事会审计委员会对会计师事务所202</w:t>
      </w:r>
      <w:r>
        <w:rPr>
          <w:rFonts w:hint="eastAsia" w:ascii="宋体" w:hAnsi="宋体" w:eastAsia="宋体" w:cs="宋体"/>
          <w:kern w:val="0"/>
          <w:sz w:val="24"/>
          <w:lang w:val="en-US" w:eastAsia="zh-CN"/>
        </w:rPr>
        <w:t>4</w:t>
      </w:r>
      <w:r>
        <w:rPr>
          <w:rFonts w:hint="eastAsia" w:ascii="宋体" w:hAnsi="宋体" w:eastAsia="宋体" w:cs="宋体"/>
          <w:kern w:val="0"/>
          <w:sz w:val="24"/>
          <w:lang w:val="zh-CN"/>
        </w:rPr>
        <w:t>年度履行监督职责的情况汇报如下：</w:t>
      </w:r>
    </w:p>
    <w:p w14:paraId="2F887689">
      <w:pPr>
        <w:pStyle w:val="2"/>
        <w:spacing w:before="156" w:after="156"/>
        <w:rPr>
          <w:rFonts w:cs="宋体"/>
          <w:kern w:val="0"/>
          <w:lang w:val="zh-CN"/>
        </w:rPr>
      </w:pPr>
      <w:r>
        <w:rPr>
          <w:shd w:val="clear" w:color="auto" w:fill="FFFFFF"/>
        </w:rPr>
        <w:t>一、</w:t>
      </w:r>
      <w:r>
        <w:rPr>
          <w:rFonts w:cs="Courier New"/>
          <w:shd w:val="clear" w:color="auto" w:fill="FFFFFF"/>
        </w:rPr>
        <w:t>202</w:t>
      </w:r>
      <w:r>
        <w:rPr>
          <w:rFonts w:hint="eastAsia" w:cs="Courier New"/>
          <w:shd w:val="clear" w:color="auto" w:fill="FFFFFF"/>
          <w:lang w:val="en-US" w:eastAsia="zh-CN"/>
        </w:rPr>
        <w:t>4</w:t>
      </w:r>
      <w:r>
        <w:rPr>
          <w:shd w:val="clear" w:color="auto" w:fill="FFFFFF"/>
        </w:rPr>
        <w:t>年度会计师事务所基本情况</w:t>
      </w:r>
    </w:p>
    <w:p w14:paraId="3E7FEB51">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（一）基本信息</w:t>
      </w:r>
    </w:p>
    <w:p w14:paraId="2D2FBA1F">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1、机构信息</w:t>
      </w:r>
    </w:p>
    <w:p w14:paraId="184DE1D8">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名称：北京德皓国际会计师事务所（特殊普通合伙）</w:t>
      </w:r>
    </w:p>
    <w:p w14:paraId="7DF3650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成立日期：2008年12月8日</w:t>
      </w:r>
    </w:p>
    <w:p w14:paraId="17A1EB25">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组织形式：特殊普通合伙</w:t>
      </w:r>
    </w:p>
    <w:p w14:paraId="714EBF70">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注册地址：北京市西城区阜成门外大街31号5层519A</w:t>
      </w:r>
    </w:p>
    <w:p w14:paraId="54DBA111">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首席合伙人：杨雄</w:t>
      </w:r>
    </w:p>
    <w:p w14:paraId="62A9268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截止2024年12月31日，北京德皓国际合伙人66人，注册会计师300人，签署过证券服务业务审计报告的注册会计师人数140人。</w:t>
      </w:r>
    </w:p>
    <w:p w14:paraId="4447FA5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2024年度收入总额为43,506.21万元（含合并数，经审计，下同），审计业务收入为29,244.86万元，证券业务收入为22,572.37万元。审计2024年上市公司年报客户家数125家，主要行业：制造业，信息传输、软件和信息服务业，水利、环境和公共设施管理业，批发和零售业。本公司同行业上市公司审计客户家数为86家。</w:t>
      </w:r>
    </w:p>
    <w:p w14:paraId="1EE43062">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2、投资者保护能力</w:t>
      </w:r>
    </w:p>
    <w:p w14:paraId="344C484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职业风险基金上年度年末数：105.35万元；已购买的职业保险累计赔偿限额3亿元。职业风险基金计提和职业保险购买符合相关规定；近三年无在执业行为相关民事诉讼中承担民事责任的情况。</w:t>
      </w:r>
    </w:p>
    <w:p w14:paraId="695F32B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3、诚信记录</w:t>
      </w:r>
    </w:p>
    <w:p w14:paraId="6EE6F202">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北京德皓国际近三年因执业行为受到刑事处罚0次、行政处罚0次、行政监管措施1次、自律监管措施0次和纪律处分0次。期间有30名从业人员近三年因执业行为受到行政监管措施22次（其中21次不在北京德皓国际执业期间）、自律监管措施6次（均不在北京德皓国际执业期间）。</w:t>
      </w:r>
    </w:p>
    <w:p w14:paraId="13C728B5">
      <w:pPr>
        <w:autoSpaceDE w:val="0"/>
        <w:autoSpaceDN w:val="0"/>
        <w:adjustRightInd w:val="0"/>
        <w:spacing w:line="360" w:lineRule="auto"/>
        <w:ind w:firstLine="480" w:firstLineChars="200"/>
        <w:jc w:val="left"/>
        <w:rPr>
          <w:rFonts w:ascii="宋体" w:hAnsi="宋体" w:eastAsia="宋体" w:cs="Times New Roman"/>
          <w:sz w:val="24"/>
        </w:rPr>
      </w:pPr>
      <w:bookmarkStart w:id="0" w:name="_GoBack"/>
      <w:bookmarkEnd w:id="0"/>
      <w:r>
        <w:rPr>
          <w:rFonts w:hint="eastAsia" w:ascii="宋体" w:hAnsi="宋体" w:eastAsia="宋体" w:cs="Times New Roman"/>
          <w:sz w:val="24"/>
        </w:rPr>
        <w:t>（二）</w:t>
      </w:r>
      <w:r>
        <w:rPr>
          <w:rFonts w:ascii="宋体" w:hAnsi="宋体" w:eastAsia="宋体" w:cs="Times New Roman"/>
          <w:sz w:val="24"/>
        </w:rPr>
        <w:t>聘任会计师事务所履行的程序</w:t>
      </w:r>
    </w:p>
    <w:p w14:paraId="4D1E5191">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经</w:t>
      </w:r>
      <w:r>
        <w:rPr>
          <w:rFonts w:hint="eastAsia" w:ascii="宋体" w:hAnsi="宋体" w:cs="宋体"/>
          <w:sz w:val="24"/>
          <w:szCs w:val="22"/>
          <w:lang w:val="en-US" w:eastAsia="zh-CN"/>
        </w:rPr>
        <w:t>第五届董事会第五次会议及2024年第四次临时股东大会，审议通过了《关于聘任会计师事务所的议案》，同意聘请北京德皓国际会计师事务所（特殊普通合伙）担任公司2024年度财务报告和内部控制审计机构。</w:t>
      </w:r>
    </w:p>
    <w:p w14:paraId="7620782D">
      <w:pPr>
        <w:pStyle w:val="2"/>
        <w:spacing w:before="156" w:after="156"/>
        <w:rPr>
          <w:rFonts w:cs="Times New Roman"/>
        </w:rPr>
      </w:pPr>
      <w:r>
        <w:rPr>
          <w:shd w:val="clear" w:color="auto" w:fill="FFFFFF"/>
        </w:rPr>
        <w:t>二、</w:t>
      </w:r>
      <w:r>
        <w:rPr>
          <w:rFonts w:hint="eastAsia" w:cs="Courier New"/>
          <w:shd w:val="clear" w:color="auto" w:fill="FFFFFF"/>
        </w:rPr>
        <w:t>202</w:t>
      </w:r>
      <w:r>
        <w:rPr>
          <w:rFonts w:hint="eastAsia" w:cs="Courier New"/>
          <w:shd w:val="clear" w:color="auto" w:fill="FFFFFF"/>
          <w:lang w:val="en-US" w:eastAsia="zh-CN"/>
        </w:rPr>
        <w:t>4</w:t>
      </w:r>
      <w:r>
        <w:rPr>
          <w:rFonts w:hint="eastAsia" w:cs="Courier New"/>
          <w:shd w:val="clear" w:color="auto" w:fill="FFFFFF"/>
        </w:rPr>
        <w:t>年年审会计师事务所履职情况</w:t>
      </w:r>
    </w:p>
    <w:p w14:paraId="12B0B249">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1、审计工作计划</w:t>
      </w:r>
    </w:p>
    <w:p w14:paraId="1BF9FF6A">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在本年度审计过程中，北京德皓国际审计小组通过初步业务活动制定了具体的审计计划，为完成审计任务和降低审计风险做了充分的准备。</w:t>
      </w:r>
    </w:p>
    <w:p w14:paraId="63072278">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2、具体审计程序执行</w:t>
      </w:r>
    </w:p>
    <w:p w14:paraId="7B6D16A8">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北京德皓国际审计小组在根据公司的内部控制的完整性、设计的合理性和运行的有效性进行评价的基础上确定需实施的控制性测试程序和实质性测试程序。在控制性测试审计程序中，为了获得内部控制有效运行的审计证据，北京德皓国际审计小组执行了内部控制和穿行测试的程序。在实质性测试审计程序中，审计人员执行了细节测试和实质性分析程序，为各类交易、账户余额、列报认定获取了必要的审计证据。</w:t>
      </w:r>
    </w:p>
    <w:p w14:paraId="712027C1">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3、北京德皓国际出具的审计报告意见的情况</w:t>
      </w:r>
    </w:p>
    <w:p w14:paraId="7D8C59B7">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北京德皓国际审计小组在本年度审计中按照中国注册会计师审计准则的要求执行了恰当的审计程序，为发表审计意见获取了充分、适当的审计证据。北京德皓国际对财务报表发表的无保留审计意见是在获取充分、适当的审计证据的基础作出的。</w:t>
      </w:r>
    </w:p>
    <w:p w14:paraId="57491412">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4、北京德皓国际出具的内部控制审计报告意见情况</w:t>
      </w:r>
    </w:p>
    <w:p w14:paraId="5DFF39A7">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北京德皓国际在实施审计工作的基础上，对公司整体内部控制的有效性发表审计意见，并对发现的公司内部控制的一般缺陷及时与公司沟通及督促整改。</w:t>
      </w:r>
    </w:p>
    <w:p w14:paraId="57449AED">
      <w:pPr>
        <w:pStyle w:val="2"/>
        <w:spacing w:before="156" w:after="156"/>
        <w:rPr>
          <w:rFonts w:cs="Times New Roman"/>
        </w:rPr>
      </w:pPr>
      <w:r>
        <w:rPr>
          <w:shd w:val="clear" w:color="auto" w:fill="FFFFFF"/>
        </w:rPr>
        <w:t>三、</w:t>
      </w:r>
      <w:r>
        <w:rPr>
          <w:rFonts w:hint="eastAsia"/>
          <w:shd w:val="clear" w:color="auto" w:fill="FFFFFF"/>
        </w:rPr>
        <w:t>审计委员会对会计师事务所监督情况</w:t>
      </w:r>
    </w:p>
    <w:p w14:paraId="2E8A8CA6">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公司董事会审计委员会对北京德皓国际的专业资质、业务能力、诚信状况、独立性、过往审计工作情况及其执业质量等进行了严格核查和评价，认为其具备为公司提供审计工作的资质和专业能力，能够满足公司审计工作的要求。</w:t>
      </w:r>
    </w:p>
    <w:p w14:paraId="55DDC546">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公司董事会审计委员会对北京德皓国际202</w:t>
      </w:r>
      <w:r>
        <w:rPr>
          <w:rFonts w:hint="eastAsia" w:ascii="宋体" w:hAnsi="宋体" w:eastAsia="宋体" w:cs="Times New Roman"/>
          <w:sz w:val="24"/>
          <w:lang w:val="en-US" w:eastAsia="zh-CN"/>
        </w:rPr>
        <w:t>4</w:t>
      </w:r>
      <w:r>
        <w:rPr>
          <w:rFonts w:hint="eastAsia" w:ascii="宋体" w:hAnsi="宋体" w:eastAsia="宋体" w:cs="Times New Roman"/>
          <w:sz w:val="24"/>
        </w:rPr>
        <w:t>年度财务审计工作进行了核查和评估，认为该所在对公司审计期间勤勉尽职，遵循执业准则，独立、客观、公正的对公司会计报表发表意见，较好的完成了各项审计任务。</w:t>
      </w:r>
    </w:p>
    <w:p w14:paraId="5D8D6508">
      <w:pPr>
        <w:pStyle w:val="2"/>
        <w:spacing w:before="156" w:after="156"/>
        <w:rPr>
          <w:rFonts w:cs="Times New Roman"/>
        </w:rPr>
      </w:pPr>
      <w:r>
        <w:rPr>
          <w:shd w:val="clear" w:color="auto" w:fill="FFFFFF"/>
        </w:rPr>
        <w:t>四、总体评价</w:t>
      </w:r>
    </w:p>
    <w:p w14:paraId="62FAA281">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公司董事会审计委员会严格遵守中国证券监督管理委员会、深圳证券交易所及《公司章程》《审计委员会议事规则》等有关规定，充分发挥专业委员会的作用，对会计师事务所相关资质和执业能力等进行了审查，在202</w:t>
      </w:r>
      <w:r>
        <w:rPr>
          <w:rFonts w:hint="eastAsia" w:ascii="宋体" w:hAnsi="宋体" w:eastAsia="宋体" w:cs="Times New Roman"/>
          <w:sz w:val="24"/>
          <w:lang w:val="en-US" w:eastAsia="zh-CN"/>
        </w:rPr>
        <w:t>4</w:t>
      </w:r>
      <w:r>
        <w:rPr>
          <w:rFonts w:hint="eastAsia" w:ascii="宋体" w:hAnsi="宋体" w:eastAsia="宋体" w:cs="Times New Roman"/>
          <w:sz w:val="24"/>
        </w:rPr>
        <w:t>年度财务审计工作期间与会计师事务所进行了充分的讨论和沟通，督促会计师事务所及时、准确、客观公正地出具审计报告，切实履行了审计委员会对会计师事务所的监督职责。</w:t>
      </w:r>
    </w:p>
    <w:p w14:paraId="558A9C44">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公司董事会审计委员会认为北京德皓国际在公司年报审计过程中坚持以公允、客观的态度进行独立审计，遵守职业操守、勤勉尽职，按时完成了公司202</w:t>
      </w:r>
      <w:r>
        <w:rPr>
          <w:rFonts w:hint="eastAsia" w:ascii="宋体" w:hAnsi="宋体" w:eastAsia="宋体" w:cs="Times New Roman"/>
          <w:sz w:val="24"/>
          <w:lang w:val="en-US" w:eastAsia="zh-CN"/>
        </w:rPr>
        <w:t>4</w:t>
      </w:r>
      <w:r>
        <w:rPr>
          <w:rFonts w:hint="eastAsia" w:ascii="宋体" w:hAnsi="宋体" w:eastAsia="宋体" w:cs="Times New Roman"/>
          <w:sz w:val="24"/>
        </w:rPr>
        <w:t>年年报审计相关工作，审计行为规范有序，出具的审计报告客观、完整、清晰、及时。</w:t>
      </w:r>
    </w:p>
    <w:p w14:paraId="43CB63D6">
      <w:pPr>
        <w:autoSpaceDE w:val="0"/>
        <w:autoSpaceDN w:val="0"/>
        <w:adjustRightInd w:val="0"/>
        <w:spacing w:line="360" w:lineRule="auto"/>
        <w:ind w:firstLine="480" w:firstLineChars="200"/>
        <w:jc w:val="left"/>
        <w:rPr>
          <w:rFonts w:ascii="宋体" w:hAnsi="宋体" w:eastAsia="宋体" w:cs="Times New Roman"/>
          <w:sz w:val="24"/>
        </w:rPr>
      </w:pPr>
    </w:p>
    <w:p w14:paraId="5337EC59">
      <w:pPr>
        <w:autoSpaceDE w:val="0"/>
        <w:autoSpaceDN w:val="0"/>
        <w:adjustRightIn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特此报告。</w:t>
      </w:r>
    </w:p>
    <w:p w14:paraId="6B239E8A">
      <w:pPr>
        <w:autoSpaceDE w:val="0"/>
        <w:autoSpaceDN w:val="0"/>
        <w:adjustRightInd w:val="0"/>
        <w:spacing w:line="360" w:lineRule="auto"/>
        <w:ind w:firstLine="480" w:firstLineChars="200"/>
        <w:jc w:val="left"/>
        <w:rPr>
          <w:rFonts w:ascii="宋体" w:hAnsi="宋体" w:eastAsia="宋体" w:cs="Times New Roman"/>
          <w:sz w:val="24"/>
        </w:rPr>
      </w:pPr>
    </w:p>
    <w:p w14:paraId="7F81F1B4">
      <w:pPr>
        <w:autoSpaceDE w:val="0"/>
        <w:autoSpaceDN w:val="0"/>
        <w:adjustRightInd w:val="0"/>
        <w:spacing w:line="360" w:lineRule="auto"/>
        <w:ind w:firstLine="480" w:firstLineChars="200"/>
        <w:jc w:val="left"/>
        <w:rPr>
          <w:rFonts w:ascii="宋体" w:hAnsi="宋体" w:eastAsia="宋体" w:cs="Times New Roman"/>
          <w:sz w:val="24"/>
        </w:rPr>
      </w:pPr>
    </w:p>
    <w:p w14:paraId="3722703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right"/>
        <w:textAlignment w:val="auto"/>
        <w:rPr>
          <w:rFonts w:ascii="宋体" w:hAnsi="宋体" w:eastAsia="宋体" w:cs="Times New Roman"/>
          <w:sz w:val="24"/>
        </w:rPr>
      </w:pPr>
      <w:r>
        <w:rPr>
          <w:rFonts w:hint="eastAsia" w:ascii="宋体" w:hAnsi="宋体" w:eastAsia="宋体" w:cs="Times New Roman"/>
          <w:sz w:val="24"/>
        </w:rPr>
        <w:t>福建广生堂药业股份有限公司</w:t>
      </w:r>
    </w:p>
    <w:p w14:paraId="194C792C">
      <w:pPr>
        <w:keepNext w:val="0"/>
        <w:keepLines w:val="0"/>
        <w:pageBreakBefore w:val="0"/>
        <w:widowControl w:val="0"/>
        <w:kinsoku/>
        <w:wordWrap/>
        <w:overflowPunct/>
        <w:topLinePunct w:val="0"/>
        <w:autoSpaceDE w:val="0"/>
        <w:autoSpaceDN w:val="0"/>
        <w:bidi w:val="0"/>
        <w:adjustRightInd w:val="0"/>
        <w:snapToGrid/>
        <w:spacing w:line="360" w:lineRule="auto"/>
        <w:ind w:right="0" w:firstLine="0" w:firstLineChars="0"/>
        <w:jc w:val="center"/>
        <w:textAlignment w:val="auto"/>
        <w:rPr>
          <w:rFonts w:ascii="宋体" w:hAnsi="宋体" w:eastAsia="宋体" w:cs="Times New Roman"/>
          <w:sz w:val="24"/>
        </w:rPr>
      </w:pPr>
      <w:r>
        <w:rPr>
          <w:rFonts w:hint="eastAsia" w:ascii="宋体" w:hAnsi="宋体" w:eastAsia="宋体" w:cs="Times New Roman"/>
          <w:sz w:val="24"/>
          <w:lang w:val="en-US" w:eastAsia="zh-CN"/>
        </w:rPr>
        <w:t xml:space="preserve">                                             </w:t>
      </w:r>
      <w:r>
        <w:rPr>
          <w:rFonts w:hint="eastAsia" w:ascii="宋体" w:hAnsi="宋体" w:eastAsia="宋体" w:cs="Times New Roman"/>
          <w:sz w:val="24"/>
        </w:rPr>
        <w:t>董事会审计委员会</w:t>
      </w:r>
    </w:p>
    <w:p w14:paraId="185A08C7">
      <w:pPr>
        <w:spacing w:line="360" w:lineRule="auto"/>
        <w:ind w:right="480" w:firstLine="480" w:firstLineChars="200"/>
        <w:jc w:val="right"/>
        <w:rPr>
          <w:rFonts w:hint="eastAsia" w:ascii="宋体" w:hAnsi="宋体" w:eastAsia="宋体" w:cs="Times New Roman"/>
          <w:sz w:val="24"/>
        </w:rPr>
      </w:pPr>
      <w:r>
        <w:rPr>
          <w:rFonts w:hint="eastAsia" w:ascii="宋体" w:hAnsi="宋体" w:eastAsia="宋体" w:cs="Times New Roman"/>
          <w:sz w:val="24"/>
        </w:rPr>
        <w:t>202</w:t>
      </w:r>
      <w:r>
        <w:rPr>
          <w:rFonts w:hint="eastAsia" w:ascii="宋体" w:hAnsi="宋体" w:eastAsia="宋体" w:cs="Times New Roman"/>
          <w:sz w:val="24"/>
          <w:lang w:val="en-US" w:eastAsia="zh-CN"/>
        </w:rPr>
        <w:t>5</w:t>
      </w:r>
      <w:r>
        <w:rPr>
          <w:rFonts w:hint="eastAsia" w:ascii="宋体" w:hAnsi="宋体" w:eastAsia="宋体" w:cs="Times New Roman"/>
          <w:sz w:val="24"/>
        </w:rPr>
        <w:t>年4月</w:t>
      </w:r>
      <w:r>
        <w:rPr>
          <w:rFonts w:hint="eastAsia" w:ascii="宋体" w:hAnsi="宋体" w:eastAsia="宋体" w:cs="Times New Roman"/>
          <w:sz w:val="24"/>
          <w:lang w:val="en-US" w:eastAsia="zh-CN"/>
        </w:rPr>
        <w:t>17</w:t>
      </w:r>
      <w:r>
        <w:rPr>
          <w:rFonts w:hint="eastAsia" w:ascii="宋体" w:hAnsi="宋体" w:eastAsia="宋体" w:cs="Times New Roman"/>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etasota_documentID" w:val="8329676563950141440"/>
  </w:docVars>
  <w:rsids>
    <w:rsidRoot w:val="0F063D35"/>
    <w:rsid w:val="000002C6"/>
    <w:rsid w:val="00004653"/>
    <w:rsid w:val="00010BA2"/>
    <w:rsid w:val="00012161"/>
    <w:rsid w:val="0001592B"/>
    <w:rsid w:val="00046153"/>
    <w:rsid w:val="00054920"/>
    <w:rsid w:val="00056C5B"/>
    <w:rsid w:val="00057AB8"/>
    <w:rsid w:val="0007025B"/>
    <w:rsid w:val="00085732"/>
    <w:rsid w:val="00094E98"/>
    <w:rsid w:val="000B0BE1"/>
    <w:rsid w:val="000C13DD"/>
    <w:rsid w:val="000C1C9F"/>
    <w:rsid w:val="000C1D2D"/>
    <w:rsid w:val="000C522D"/>
    <w:rsid w:val="000D272C"/>
    <w:rsid w:val="000D7E19"/>
    <w:rsid w:val="000E2382"/>
    <w:rsid w:val="000E4EB8"/>
    <w:rsid w:val="000F134A"/>
    <w:rsid w:val="00141966"/>
    <w:rsid w:val="00147C4A"/>
    <w:rsid w:val="00167176"/>
    <w:rsid w:val="00194CFC"/>
    <w:rsid w:val="001C0968"/>
    <w:rsid w:val="001C2A10"/>
    <w:rsid w:val="001E07A8"/>
    <w:rsid w:val="001E385B"/>
    <w:rsid w:val="001F41CB"/>
    <w:rsid w:val="001F7179"/>
    <w:rsid w:val="00210616"/>
    <w:rsid w:val="0021377E"/>
    <w:rsid w:val="00213A96"/>
    <w:rsid w:val="00230E7D"/>
    <w:rsid w:val="00266FD7"/>
    <w:rsid w:val="00292FC4"/>
    <w:rsid w:val="00296E15"/>
    <w:rsid w:val="002C4EAD"/>
    <w:rsid w:val="002C5595"/>
    <w:rsid w:val="002D5448"/>
    <w:rsid w:val="002F728B"/>
    <w:rsid w:val="00306FD7"/>
    <w:rsid w:val="003149B9"/>
    <w:rsid w:val="00336FA9"/>
    <w:rsid w:val="00367186"/>
    <w:rsid w:val="003708C0"/>
    <w:rsid w:val="003745B1"/>
    <w:rsid w:val="00390D0C"/>
    <w:rsid w:val="00392BA5"/>
    <w:rsid w:val="00396DC3"/>
    <w:rsid w:val="003C53C6"/>
    <w:rsid w:val="003E2FE4"/>
    <w:rsid w:val="00401B19"/>
    <w:rsid w:val="004373A0"/>
    <w:rsid w:val="00447CB6"/>
    <w:rsid w:val="00462BB6"/>
    <w:rsid w:val="004643BE"/>
    <w:rsid w:val="00483DD3"/>
    <w:rsid w:val="00487383"/>
    <w:rsid w:val="00491E08"/>
    <w:rsid w:val="004B34F2"/>
    <w:rsid w:val="004B495C"/>
    <w:rsid w:val="004B7BE1"/>
    <w:rsid w:val="004C371C"/>
    <w:rsid w:val="004D07B5"/>
    <w:rsid w:val="004F777D"/>
    <w:rsid w:val="005038C5"/>
    <w:rsid w:val="00551CD4"/>
    <w:rsid w:val="005734C0"/>
    <w:rsid w:val="005747FB"/>
    <w:rsid w:val="00576F43"/>
    <w:rsid w:val="00593FD0"/>
    <w:rsid w:val="005B1696"/>
    <w:rsid w:val="005C065A"/>
    <w:rsid w:val="005E11C0"/>
    <w:rsid w:val="005F3A80"/>
    <w:rsid w:val="0062249E"/>
    <w:rsid w:val="00623803"/>
    <w:rsid w:val="00626162"/>
    <w:rsid w:val="006417CA"/>
    <w:rsid w:val="00643AB8"/>
    <w:rsid w:val="006666BA"/>
    <w:rsid w:val="00667423"/>
    <w:rsid w:val="006679E7"/>
    <w:rsid w:val="0068378C"/>
    <w:rsid w:val="006D356D"/>
    <w:rsid w:val="007008DC"/>
    <w:rsid w:val="00713324"/>
    <w:rsid w:val="0075674F"/>
    <w:rsid w:val="00757BE7"/>
    <w:rsid w:val="00762065"/>
    <w:rsid w:val="00765CCB"/>
    <w:rsid w:val="00773265"/>
    <w:rsid w:val="00786B0D"/>
    <w:rsid w:val="007A3147"/>
    <w:rsid w:val="007B65A7"/>
    <w:rsid w:val="007B7C41"/>
    <w:rsid w:val="007C1F49"/>
    <w:rsid w:val="007C2B7D"/>
    <w:rsid w:val="007D4821"/>
    <w:rsid w:val="007E631C"/>
    <w:rsid w:val="007F450B"/>
    <w:rsid w:val="007F79A1"/>
    <w:rsid w:val="00811122"/>
    <w:rsid w:val="00823049"/>
    <w:rsid w:val="00843CE2"/>
    <w:rsid w:val="008444F4"/>
    <w:rsid w:val="008634F5"/>
    <w:rsid w:val="0086494E"/>
    <w:rsid w:val="00867C43"/>
    <w:rsid w:val="008765A7"/>
    <w:rsid w:val="008877CC"/>
    <w:rsid w:val="008918C2"/>
    <w:rsid w:val="008B056E"/>
    <w:rsid w:val="008C1943"/>
    <w:rsid w:val="008E782C"/>
    <w:rsid w:val="008F70FC"/>
    <w:rsid w:val="00910C9B"/>
    <w:rsid w:val="0092181A"/>
    <w:rsid w:val="0093747C"/>
    <w:rsid w:val="00941A15"/>
    <w:rsid w:val="0095488A"/>
    <w:rsid w:val="00956FF8"/>
    <w:rsid w:val="00962ACB"/>
    <w:rsid w:val="0096402C"/>
    <w:rsid w:val="009669CF"/>
    <w:rsid w:val="00985D74"/>
    <w:rsid w:val="0099438F"/>
    <w:rsid w:val="009A1293"/>
    <w:rsid w:val="009A2EEA"/>
    <w:rsid w:val="009A3F3D"/>
    <w:rsid w:val="009B5E1C"/>
    <w:rsid w:val="009B71A6"/>
    <w:rsid w:val="009C3B98"/>
    <w:rsid w:val="009D2184"/>
    <w:rsid w:val="009D3ED4"/>
    <w:rsid w:val="009E1040"/>
    <w:rsid w:val="00A05EA5"/>
    <w:rsid w:val="00A1044A"/>
    <w:rsid w:val="00A123E8"/>
    <w:rsid w:val="00A2475F"/>
    <w:rsid w:val="00A27FEC"/>
    <w:rsid w:val="00A31666"/>
    <w:rsid w:val="00A44608"/>
    <w:rsid w:val="00A5706B"/>
    <w:rsid w:val="00A606BD"/>
    <w:rsid w:val="00A72F71"/>
    <w:rsid w:val="00A7705D"/>
    <w:rsid w:val="00A8169C"/>
    <w:rsid w:val="00A8195E"/>
    <w:rsid w:val="00A82472"/>
    <w:rsid w:val="00AB3853"/>
    <w:rsid w:val="00AD381B"/>
    <w:rsid w:val="00AE1247"/>
    <w:rsid w:val="00AF5761"/>
    <w:rsid w:val="00AF668D"/>
    <w:rsid w:val="00B01722"/>
    <w:rsid w:val="00B03D8F"/>
    <w:rsid w:val="00B05B43"/>
    <w:rsid w:val="00B11016"/>
    <w:rsid w:val="00B14DD6"/>
    <w:rsid w:val="00B215D3"/>
    <w:rsid w:val="00B27BE6"/>
    <w:rsid w:val="00B30C73"/>
    <w:rsid w:val="00B310C1"/>
    <w:rsid w:val="00B46EBE"/>
    <w:rsid w:val="00B616F3"/>
    <w:rsid w:val="00B6647E"/>
    <w:rsid w:val="00B671BD"/>
    <w:rsid w:val="00B71467"/>
    <w:rsid w:val="00B73094"/>
    <w:rsid w:val="00B73DAA"/>
    <w:rsid w:val="00B83289"/>
    <w:rsid w:val="00BA1353"/>
    <w:rsid w:val="00BD68A3"/>
    <w:rsid w:val="00C14AFB"/>
    <w:rsid w:val="00C215A2"/>
    <w:rsid w:val="00C25262"/>
    <w:rsid w:val="00C32D19"/>
    <w:rsid w:val="00C37B09"/>
    <w:rsid w:val="00C4429D"/>
    <w:rsid w:val="00C507CA"/>
    <w:rsid w:val="00C74ABD"/>
    <w:rsid w:val="00C87217"/>
    <w:rsid w:val="00CA5494"/>
    <w:rsid w:val="00CB32C9"/>
    <w:rsid w:val="00CC095A"/>
    <w:rsid w:val="00CD5BAB"/>
    <w:rsid w:val="00CD6166"/>
    <w:rsid w:val="00CE11C7"/>
    <w:rsid w:val="00CE52F1"/>
    <w:rsid w:val="00CF7A12"/>
    <w:rsid w:val="00D20285"/>
    <w:rsid w:val="00D314D0"/>
    <w:rsid w:val="00D357B5"/>
    <w:rsid w:val="00D53872"/>
    <w:rsid w:val="00D71A7F"/>
    <w:rsid w:val="00D7607F"/>
    <w:rsid w:val="00D86A0F"/>
    <w:rsid w:val="00D91C0D"/>
    <w:rsid w:val="00DA1B40"/>
    <w:rsid w:val="00DB639B"/>
    <w:rsid w:val="00DC4BFF"/>
    <w:rsid w:val="00DE1171"/>
    <w:rsid w:val="00DF17A7"/>
    <w:rsid w:val="00DF5193"/>
    <w:rsid w:val="00E06EE7"/>
    <w:rsid w:val="00E17EEA"/>
    <w:rsid w:val="00E23F53"/>
    <w:rsid w:val="00E23F65"/>
    <w:rsid w:val="00E2618F"/>
    <w:rsid w:val="00E51198"/>
    <w:rsid w:val="00E95BEF"/>
    <w:rsid w:val="00E965A6"/>
    <w:rsid w:val="00EA2707"/>
    <w:rsid w:val="00EC1C46"/>
    <w:rsid w:val="00EC1FB9"/>
    <w:rsid w:val="00EC4B93"/>
    <w:rsid w:val="00ED6630"/>
    <w:rsid w:val="00EE039A"/>
    <w:rsid w:val="00EE2661"/>
    <w:rsid w:val="00EE5CD2"/>
    <w:rsid w:val="00EF0CFE"/>
    <w:rsid w:val="00EF6EE0"/>
    <w:rsid w:val="00F02612"/>
    <w:rsid w:val="00F0533B"/>
    <w:rsid w:val="00F22767"/>
    <w:rsid w:val="00F4376D"/>
    <w:rsid w:val="00F543AE"/>
    <w:rsid w:val="00FC14CC"/>
    <w:rsid w:val="00FD2939"/>
    <w:rsid w:val="00FD41EB"/>
    <w:rsid w:val="00FD6FF5"/>
    <w:rsid w:val="00FE2A29"/>
    <w:rsid w:val="00FE6BAC"/>
    <w:rsid w:val="00FF17B2"/>
    <w:rsid w:val="00FF6A06"/>
    <w:rsid w:val="010463FC"/>
    <w:rsid w:val="04942C0B"/>
    <w:rsid w:val="04FC3E7A"/>
    <w:rsid w:val="0F063D35"/>
    <w:rsid w:val="22224394"/>
    <w:rsid w:val="22711647"/>
    <w:rsid w:val="26D85108"/>
    <w:rsid w:val="27973412"/>
    <w:rsid w:val="2FF53F23"/>
    <w:rsid w:val="34672F58"/>
    <w:rsid w:val="36FD79CA"/>
    <w:rsid w:val="403A6781"/>
    <w:rsid w:val="481B7522"/>
    <w:rsid w:val="4D236DFC"/>
    <w:rsid w:val="53155AC4"/>
    <w:rsid w:val="53304715"/>
    <w:rsid w:val="58A61818"/>
    <w:rsid w:val="66AB0316"/>
    <w:rsid w:val="689722E6"/>
    <w:rsid w:val="742161B3"/>
    <w:rsid w:val="792B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spacing w:before="50" w:beforeLines="50" w:after="50" w:afterLines="50" w:line="360" w:lineRule="auto"/>
      <w:outlineLvl w:val="0"/>
    </w:pPr>
    <w:rPr>
      <w:rFonts w:ascii="宋体" w:hAnsi="宋体" w:eastAsia="宋体"/>
      <w:b/>
      <w:bCs/>
      <w:kern w:val="44"/>
      <w:sz w:val="24"/>
      <w:szCs w:val="44"/>
    </w:rPr>
  </w:style>
  <w:style w:type="paragraph" w:styleId="3">
    <w:name w:val="heading 2"/>
    <w:basedOn w:val="1"/>
    <w:next w:val="1"/>
    <w:link w:val="22"/>
    <w:unhideWhenUsed/>
    <w:qFormat/>
    <w:uiPriority w:val="0"/>
    <w:pPr>
      <w:spacing w:line="360" w:lineRule="auto"/>
      <w:ind w:firstLine="200" w:firstLineChars="200"/>
      <w:outlineLvl w:val="1"/>
    </w:pPr>
    <w:rPr>
      <w:rFonts w:ascii="宋体" w:hAnsi="宋体" w:eastAsia="宋体" w:cstheme="majorBidi"/>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0"/>
    <w:pPr>
      <w:ind w:firstLine="420" w:firstLineChars="200"/>
    </w:pPr>
  </w:style>
  <w:style w:type="paragraph" w:styleId="5">
    <w:name w:val="annotation text"/>
    <w:basedOn w:val="1"/>
    <w:link w:val="18"/>
    <w:qFormat/>
    <w:uiPriority w:val="0"/>
    <w:pPr>
      <w:jc w:val="left"/>
    </w:pPr>
  </w:style>
  <w:style w:type="paragraph" w:styleId="6">
    <w:name w:val="Balloon Text"/>
    <w:basedOn w:val="1"/>
    <w:link w:val="16"/>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1"/>
    <w:qFormat/>
    <w:uiPriority w:val="0"/>
    <w:pPr>
      <w:spacing w:line="360" w:lineRule="auto"/>
      <w:jc w:val="left"/>
      <w:outlineLvl w:val="0"/>
    </w:pPr>
    <w:rPr>
      <w:rFonts w:eastAsia="宋体" w:asciiTheme="majorHAnsi" w:hAnsiTheme="majorHAnsi" w:cstheme="majorBidi"/>
      <w:b/>
      <w:bCs/>
      <w:sz w:val="36"/>
      <w:szCs w:val="32"/>
    </w:rPr>
  </w:style>
  <w:style w:type="paragraph" w:styleId="10">
    <w:name w:val="annotation subject"/>
    <w:basedOn w:val="5"/>
    <w:next w:val="5"/>
    <w:link w:val="19"/>
    <w:qFormat/>
    <w:uiPriority w:val="0"/>
    <w:rPr>
      <w:b/>
      <w:bCs/>
    </w:rPr>
  </w:style>
  <w:style w:type="character" w:styleId="13">
    <w:name w:val="annotation reference"/>
    <w:basedOn w:val="12"/>
    <w:qFormat/>
    <w:uiPriority w:val="0"/>
    <w:rPr>
      <w:sz w:val="21"/>
      <w:szCs w:val="21"/>
    </w:rPr>
  </w:style>
  <w:style w:type="character" w:customStyle="1" w:styleId="14">
    <w:name w:val="页眉 字符"/>
    <w:basedOn w:val="12"/>
    <w:link w:val="8"/>
    <w:qFormat/>
    <w:uiPriority w:val="0"/>
    <w:rPr>
      <w:kern w:val="2"/>
      <w:sz w:val="18"/>
      <w:szCs w:val="18"/>
    </w:rPr>
  </w:style>
  <w:style w:type="character" w:customStyle="1" w:styleId="15">
    <w:name w:val="页脚 字符"/>
    <w:basedOn w:val="12"/>
    <w:link w:val="7"/>
    <w:qFormat/>
    <w:uiPriority w:val="0"/>
    <w:rPr>
      <w:kern w:val="2"/>
      <w:sz w:val="18"/>
      <w:szCs w:val="18"/>
    </w:rPr>
  </w:style>
  <w:style w:type="character" w:customStyle="1" w:styleId="16">
    <w:name w:val="批注框文本 字符"/>
    <w:basedOn w:val="12"/>
    <w:link w:val="6"/>
    <w:qFormat/>
    <w:uiPriority w:val="0"/>
    <w:rPr>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文字 字符"/>
    <w:basedOn w:val="12"/>
    <w:link w:val="5"/>
    <w:qFormat/>
    <w:uiPriority w:val="0"/>
    <w:rPr>
      <w:kern w:val="2"/>
      <w:sz w:val="21"/>
      <w:szCs w:val="24"/>
    </w:rPr>
  </w:style>
  <w:style w:type="character" w:customStyle="1" w:styleId="19">
    <w:name w:val="批注主题 字符"/>
    <w:basedOn w:val="18"/>
    <w:link w:val="10"/>
    <w:qFormat/>
    <w:uiPriority w:val="0"/>
    <w:rPr>
      <w:b/>
      <w:bCs/>
      <w:kern w:val="2"/>
      <w:sz w:val="21"/>
      <w:szCs w:val="24"/>
    </w:rPr>
  </w:style>
  <w:style w:type="character" w:customStyle="1" w:styleId="20">
    <w:name w:val="标题 1 字符"/>
    <w:basedOn w:val="12"/>
    <w:link w:val="2"/>
    <w:qFormat/>
    <w:uiPriority w:val="0"/>
    <w:rPr>
      <w:rFonts w:ascii="宋体" w:hAnsi="宋体" w:eastAsia="宋体"/>
      <w:b/>
      <w:bCs/>
      <w:kern w:val="44"/>
      <w:sz w:val="24"/>
      <w:szCs w:val="44"/>
    </w:rPr>
  </w:style>
  <w:style w:type="character" w:customStyle="1" w:styleId="21">
    <w:name w:val="标题 字符"/>
    <w:basedOn w:val="12"/>
    <w:link w:val="9"/>
    <w:qFormat/>
    <w:uiPriority w:val="0"/>
    <w:rPr>
      <w:rFonts w:eastAsia="宋体" w:asciiTheme="majorHAnsi" w:hAnsiTheme="majorHAnsi" w:cstheme="majorBidi"/>
      <w:b/>
      <w:bCs/>
      <w:kern w:val="2"/>
      <w:sz w:val="36"/>
      <w:szCs w:val="32"/>
    </w:rPr>
  </w:style>
  <w:style w:type="character" w:customStyle="1" w:styleId="22">
    <w:name w:val="标题 2 字符"/>
    <w:basedOn w:val="12"/>
    <w:link w:val="3"/>
    <w:qFormat/>
    <w:uiPriority w:val="0"/>
    <w:rPr>
      <w:rFonts w:ascii="宋体" w:hAnsi="宋体" w:eastAsia="宋体" w:cstheme="majorBidi"/>
      <w:b/>
      <w:bCs/>
      <w:kern w:val="2"/>
      <w:sz w:val="24"/>
      <w:szCs w:val="32"/>
    </w:rPr>
  </w:style>
  <w:style w:type="paragraph" w:customStyle="1" w:styleId="23">
    <w:name w:val="表格后说明"/>
    <w:next w:val="4"/>
    <w:autoRedefine/>
    <w:qFormat/>
    <w:uiPriority w:val="3"/>
    <w:pPr>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SDJK.CC</Company>
  <Pages>3</Pages>
  <Words>1886</Words>
  <Characters>1973</Characters>
  <Lines>14</Lines>
  <Paragraphs>4</Paragraphs>
  <TotalTime>0</TotalTime>
  <ScaleCrop>false</ScaleCrop>
  <LinksUpToDate>false</LinksUpToDate>
  <CharactersWithSpaces>2018</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2022-04-16T07:03:00Z</dcterms:created>
  <dc:creator>一城之隔</dc:creator>
  <cp:lastModifiedBy>cdq</cp:lastModifiedBy>
  <dcterms:modified xsi:type="dcterms:W3CDTF">2025-04-17T03:24:42Z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KSOTemplateDocerSaveRecord">
    <vt:lpwstr>eyJoZGlkIjoiY2Q4MDAzNjNiM2EwYjNjY2VkN2I2ZWY4OTg5YTA1ZWYiLCJ1c2VySWQiOiIxMzk5OTUwMzQxIn0=</vt:lpwstr>
  </property>
  <property fmtid="{D5CDD505-2E9C-101B-9397-08002B2CF9AE}" pid="4" name="ICV">
    <vt:lpwstr>C27BCDA04EE84A808430E96F7EA4EBE1_12</vt:lpwstr>
  </property>
</Properties>
</file>