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b/>
          <w:bCs/>
          <w:color w:val="auto"/>
          <w:sz w:val="30"/>
          <w:szCs w:val="30"/>
          <w:lang w:eastAsia="zh-CN"/>
        </w:rPr>
      </w:pPr>
      <w:r>
        <w:rPr>
          <w:rFonts w:hint="eastAsia" w:ascii="宋体" w:hAnsi="宋体"/>
          <w:b/>
          <w:bCs/>
          <w:color w:val="auto"/>
          <w:sz w:val="30"/>
          <w:szCs w:val="30"/>
          <w:lang w:eastAsia="zh-CN"/>
        </w:rPr>
        <w:t>倒班宿舍（一）一、二层餐厅</w:t>
      </w:r>
      <w:r>
        <w:rPr>
          <w:rFonts w:hint="eastAsia" w:ascii="宋体" w:hAnsi="宋体"/>
          <w:b/>
          <w:bCs/>
          <w:color w:val="auto"/>
          <w:sz w:val="30"/>
          <w:szCs w:val="30"/>
          <w:lang w:val="en-US" w:eastAsia="zh-CN"/>
        </w:rPr>
        <w:t>、厨房及</w:t>
      </w:r>
      <w:r>
        <w:rPr>
          <w:rFonts w:hint="eastAsia" w:ascii="宋体" w:hAnsi="宋体"/>
          <w:b/>
          <w:bCs/>
          <w:color w:val="auto"/>
          <w:sz w:val="30"/>
          <w:szCs w:val="30"/>
          <w:lang w:eastAsia="zh-CN"/>
        </w:rPr>
        <w:t>多功能厅内装修工程</w:t>
      </w:r>
    </w:p>
    <w:p>
      <w:pPr>
        <w:jc w:val="center"/>
        <w:rPr>
          <w:rFonts w:hint="eastAsia" w:ascii="宋体" w:hAnsi="宋体"/>
          <w:b/>
          <w:bCs/>
          <w:color w:val="auto"/>
          <w:sz w:val="30"/>
          <w:szCs w:val="30"/>
          <w:lang w:eastAsia="zh-CN"/>
        </w:rPr>
      </w:pPr>
      <w:r>
        <w:rPr>
          <w:rFonts w:hint="eastAsia" w:ascii="宋体" w:hAnsi="宋体"/>
          <w:b/>
          <w:bCs/>
          <w:color w:val="auto"/>
          <w:sz w:val="30"/>
          <w:szCs w:val="30"/>
          <w:lang w:eastAsia="zh-CN"/>
        </w:rPr>
        <w:t>设计</w:t>
      </w:r>
      <w:r>
        <w:rPr>
          <w:rFonts w:hint="eastAsia" w:ascii="宋体" w:hAnsi="宋体" w:cs="宋体"/>
          <w:b/>
          <w:bCs/>
          <w:color w:val="auto"/>
          <w:sz w:val="30"/>
          <w:szCs w:val="30"/>
          <w:lang w:val="en-US" w:eastAsia="zh-CN"/>
        </w:rPr>
        <w:t>委托</w:t>
      </w:r>
      <w:r>
        <w:rPr>
          <w:rFonts w:hint="eastAsia" w:ascii="宋体" w:hAnsi="宋体" w:eastAsia="宋体" w:cs="宋体"/>
          <w:b/>
          <w:bCs/>
          <w:color w:val="auto"/>
          <w:sz w:val="30"/>
          <w:szCs w:val="30"/>
          <w:lang w:val="en-US" w:eastAsia="zh-CN"/>
        </w:rPr>
        <w:t>招标</w:t>
      </w:r>
      <w:r>
        <w:rPr>
          <w:rFonts w:hint="eastAsia" w:ascii="宋体" w:hAnsi="宋体" w:cs="宋体"/>
          <w:b/>
          <w:bCs/>
          <w:color w:val="auto"/>
          <w:sz w:val="30"/>
          <w:szCs w:val="30"/>
          <w:lang w:val="en-US" w:eastAsia="zh-CN"/>
        </w:rPr>
        <w:t>公告</w:t>
      </w:r>
    </w:p>
    <w:p>
      <w:pPr>
        <w:spacing w:line="360" w:lineRule="auto"/>
        <w:rPr>
          <w:rFonts w:hint="eastAsia" w:ascii="宋体" w:hAnsi="宋体" w:cs="宋体"/>
          <w:color w:val="auto"/>
          <w:sz w:val="24"/>
          <w:szCs w:val="24"/>
          <w:lang w:val="en-US" w:eastAsia="zh-CN"/>
        </w:rPr>
      </w:pPr>
    </w:p>
    <w:p>
      <w:pPr>
        <w:numPr>
          <w:numId w:val="0"/>
        </w:num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1、本工程为福建广生堂药业股份有限公司新药制剂产业化建设项目倒班宿舍（一）一、二层餐厅、厨房及多功能厅内装修工程设计，经公司研究决定对该工程设计进行公开招标，选定委托设计人。</w:t>
      </w:r>
    </w:p>
    <w:p>
      <w:pPr>
        <w:numPr>
          <w:numId w:val="0"/>
        </w:num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2、本次工程招标主要信息</w:t>
      </w:r>
    </w:p>
    <w:p>
      <w:p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2.1项目地址：宁德市柘荣县东源乡富源工业区</w:t>
      </w:r>
    </w:p>
    <w:p>
      <w:pPr>
        <w:spacing w:beforeLines="0" w:afterLines="0"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2.2 项目概况及主要设计要求：</w:t>
      </w:r>
    </w:p>
    <w:p>
      <w:pPr>
        <w:spacing w:beforeLines="0" w:afterLines="0"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项目概况：倒班宿舍（一）一层规划设计为员工餐厅及厨房，建筑面积为879.06m2；二层规划设计为多功能厅及宴会厅包厢，建筑面积884.9m2。装修平面布置参考倒班宿舍（一）一、二层建筑平面布局图。</w:t>
      </w:r>
    </w:p>
    <w:p>
      <w:pPr>
        <w:spacing w:beforeLines="0" w:afterLines="0" w:line="360" w:lineRule="auto"/>
        <w:ind w:firstLine="480" w:firstLineChars="20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设计主要要求:</w:t>
      </w:r>
    </w:p>
    <w:p>
      <w:pPr>
        <w:spacing w:beforeLines="0" w:afterLines="0"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（1）二层要设计一个储物间（活动隔断式），没有开会、宴会的时候存放桌椅。平时可以用做培训室，提高利用率。</w:t>
      </w:r>
    </w:p>
    <w:p>
      <w:pPr>
        <w:spacing w:beforeLines="0" w:afterLines="0"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（2）一、二层可以增加一些公司的主题色、企业文化。</w:t>
      </w:r>
      <w:r>
        <w:rPr>
          <w:rFonts w:hint="eastAsia" w:ascii="宋体" w:hAnsi="宋体" w:cs="宋体"/>
          <w:color w:val="auto"/>
          <w:sz w:val="24"/>
          <w:szCs w:val="24"/>
          <w:lang w:val="en-US" w:eastAsia="zh-CN"/>
        </w:rPr>
        <w:br/>
      </w:r>
      <w:r>
        <w:rPr>
          <w:rFonts w:hint="eastAsia" w:ascii="宋体" w:hAnsi="宋体" w:cs="宋体"/>
          <w:color w:val="auto"/>
          <w:sz w:val="24"/>
          <w:szCs w:val="24"/>
          <w:lang w:val="en-US" w:eastAsia="zh-CN"/>
        </w:rPr>
        <w:t>（3）二层中间柱着重考虑。</w:t>
      </w:r>
    </w:p>
    <w:p>
      <w:pPr>
        <w:spacing w:beforeLines="0" w:afterLines="0"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（4）大包厢考虑配餐区。</w:t>
      </w:r>
    </w:p>
    <w:p>
      <w:pPr>
        <w:spacing w:beforeLines="0" w:afterLines="0"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（5）按施工图展示效果图。</w:t>
      </w:r>
      <w:r>
        <w:rPr>
          <w:rFonts w:hint="eastAsia" w:ascii="宋体" w:hAnsi="宋体" w:cs="宋体"/>
          <w:color w:val="auto"/>
          <w:sz w:val="24"/>
          <w:szCs w:val="24"/>
          <w:lang w:val="en-US" w:eastAsia="zh-CN"/>
        </w:rPr>
        <w:br/>
      </w:r>
      <w:r>
        <w:rPr>
          <w:rFonts w:hint="eastAsia" w:ascii="宋体" w:hAnsi="宋体" w:cs="宋体"/>
          <w:color w:val="auto"/>
          <w:sz w:val="24"/>
          <w:szCs w:val="24"/>
          <w:lang w:val="en-US" w:eastAsia="zh-CN"/>
        </w:rPr>
        <w:t>（6）需明确展厅角度。</w:t>
      </w:r>
    </w:p>
    <w:p>
      <w:p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2.3设计文件提交时间：合同签订后5天内提供设计方案，设计方案确认后15日内提供装饰设计施工图。</w:t>
      </w:r>
    </w:p>
    <w:p>
      <w:pPr>
        <w:numPr>
          <w:ilvl w:val="0"/>
          <w:numId w:val="1"/>
        </w:num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投标条件：凡是具备建筑行业工程设计资质等级的单位均可以参与投标。</w:t>
      </w:r>
    </w:p>
    <w:p>
      <w:pPr>
        <w:numPr>
          <w:ilvl w:val="0"/>
          <w:numId w:val="1"/>
        </w:num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评标方法：本工程对投标人要求进入招标单位官方网站（http://www.cosunter.com/）询价中心进行投标人资格登记预审，资格审核通过后，投标人可进行现场实地勘察后进行投标报价或者根据公司设计经验进行投标报价。原则上采取最低价中标方法，确定中标后在进行商务细节合同谈判与签订。</w:t>
      </w:r>
    </w:p>
    <w:p>
      <w:pPr>
        <w:numPr>
          <w:ilvl w:val="0"/>
          <w:numId w:val="1"/>
        </w:num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投标期限：2019年11月4日至2019年11月11日。</w:t>
      </w:r>
    </w:p>
    <w:p>
      <w:pPr>
        <w:numPr>
          <w:numId w:val="0"/>
        </w:num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招标人：福建广生堂药业股份有限公司</w:t>
      </w:r>
    </w:p>
    <w:p>
      <w:pPr>
        <w:numPr>
          <w:numId w:val="0"/>
        </w:num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办公地址及电话：宁德市柘荣县东源乡富源工业区，0593-8318018</w:t>
      </w:r>
    </w:p>
    <w:p>
      <w:pPr>
        <w:numPr>
          <w:numId w:val="0"/>
        </w:num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接洽人：甘军-15985979780 /刘均龙-13706927898</w:t>
      </w:r>
    </w:p>
    <w:p>
      <w:pPr>
        <w:numPr>
          <w:numId w:val="0"/>
        </w:num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日期：2019年11月4日</w:t>
      </w:r>
      <w:bookmarkStart w:id="0" w:name="_GoBack"/>
      <w:bookmarkEnd w:id="0"/>
    </w:p>
    <w:p>
      <w:pPr>
        <w:spacing w:line="360" w:lineRule="auto"/>
        <w:ind w:firstLine="570"/>
        <w:rPr>
          <w:color w:val="auto"/>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8752009">
    <w:nsid w:val="5CE8AB09"/>
    <w:multiLevelType w:val="singleLevel"/>
    <w:tmpl w:val="5CE8AB09"/>
    <w:lvl w:ilvl="0" w:tentative="1">
      <w:start w:val="3"/>
      <w:numFmt w:val="decimal"/>
      <w:suff w:val="nothing"/>
      <w:lvlText w:val="%1、"/>
      <w:lvlJc w:val="left"/>
    </w:lvl>
  </w:abstractNum>
  <w:num w:numId="1">
    <w:abstractNumId w:val="15587520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A527B"/>
    <w:rsid w:val="000C3E79"/>
    <w:rsid w:val="001655F6"/>
    <w:rsid w:val="00261CBA"/>
    <w:rsid w:val="002A4734"/>
    <w:rsid w:val="002C67AD"/>
    <w:rsid w:val="00311AD6"/>
    <w:rsid w:val="00411993"/>
    <w:rsid w:val="004A2B5C"/>
    <w:rsid w:val="004B1BF6"/>
    <w:rsid w:val="005B4DF9"/>
    <w:rsid w:val="006314EE"/>
    <w:rsid w:val="007235AF"/>
    <w:rsid w:val="00813176"/>
    <w:rsid w:val="00894437"/>
    <w:rsid w:val="00B65194"/>
    <w:rsid w:val="00C47AAA"/>
    <w:rsid w:val="00C70B5A"/>
    <w:rsid w:val="00DA224C"/>
    <w:rsid w:val="00DA527B"/>
    <w:rsid w:val="00DD5C4F"/>
    <w:rsid w:val="00E47B18"/>
    <w:rsid w:val="00E96602"/>
    <w:rsid w:val="08115849"/>
    <w:rsid w:val="10C32A8B"/>
    <w:rsid w:val="14D0482F"/>
    <w:rsid w:val="30D6658F"/>
    <w:rsid w:val="3B243095"/>
    <w:rsid w:val="45C8656D"/>
    <w:rsid w:val="4B4B2196"/>
    <w:rsid w:val="4E352B5E"/>
    <w:rsid w:val="578C0E38"/>
    <w:rsid w:val="584E3BED"/>
    <w:rsid w:val="645C18B4"/>
    <w:rsid w:val="65A74CC8"/>
    <w:rsid w:val="6B14233D"/>
    <w:rsid w:val="6D664FEC"/>
    <w:rsid w:val="729271E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353</Characters>
  <Lines>2</Lines>
  <Paragraphs>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2019-09-18T01:52:00Z</dcterms:created>
  <dc:creator>DADI</dc:creator>
  <cp:lastModifiedBy>ganj</cp:lastModifiedBy>
  <dcterms:modified xsi:type="dcterms:W3CDTF">2019-11-01T07:55:03Z</dcterms:modified>
  <dc:title>福建广生堂药业股份有限公司新厂区配套用房工程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